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D76" w:rsidRPr="00093D76" w:rsidRDefault="00093D76" w:rsidP="00093D76">
      <w:pPr>
        <w:spacing w:line="240" w:lineRule="auto"/>
        <w:ind w:firstLine="0"/>
        <w:jc w:val="center"/>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eastAsia="es-AR"/>
        </w:rPr>
        <w:t>Hipérico o Hierba de San Juan: Riesgo de interacciones medicamentosas</w:t>
      </w:r>
    </w:p>
    <w:p w:rsidR="00093D76" w:rsidRPr="00093D76" w:rsidRDefault="00093D76" w:rsidP="00093D76">
      <w:pPr>
        <w:spacing w:before="240" w:beforeAutospacing="0" w:after="60" w:afterAutospacing="0" w:line="240" w:lineRule="auto"/>
        <w:ind w:firstLine="0"/>
        <w:jc w:val="center"/>
        <w:outlineLvl w:val="0"/>
        <w:rPr>
          <w:rFonts w:ascii="Arial" w:eastAsia="Times New Roman" w:hAnsi="Arial" w:cs="Arial"/>
          <w:b/>
          <w:bCs/>
          <w:kern w:val="36"/>
          <w:sz w:val="32"/>
          <w:szCs w:val="32"/>
          <w:lang w:eastAsia="es-AR"/>
        </w:rPr>
      </w:pPr>
      <w:r w:rsidRPr="00093D76">
        <w:rPr>
          <w:rFonts w:ascii="Times New Roman" w:eastAsia="Times New Roman" w:hAnsi="Times New Roman" w:cs="Times New Roman"/>
          <w:i/>
          <w:iCs/>
          <w:caps/>
          <w:kern w:val="36"/>
          <w:sz w:val="24"/>
          <w:szCs w:val="24"/>
          <w:lang w:val="es-ES_tradnl" w:eastAsia="es-AR"/>
        </w:rPr>
        <w:t>(</w:t>
      </w:r>
      <w:r w:rsidRPr="00093D76">
        <w:rPr>
          <w:rFonts w:ascii="Times New Roman" w:eastAsia="Times New Roman" w:hAnsi="Times New Roman" w:cs="Times New Roman"/>
          <w:i/>
          <w:iCs/>
          <w:kern w:val="36"/>
          <w:sz w:val="24"/>
          <w:szCs w:val="24"/>
          <w:lang w:val="es-ES_tradnl" w:eastAsia="es-AR"/>
        </w:rPr>
        <w:t>Diciembre 2005)</w:t>
      </w:r>
    </w:p>
    <w:p w:rsidR="00093D76" w:rsidRPr="00093D76" w:rsidRDefault="00093D76" w:rsidP="00093D76">
      <w:pPr>
        <w:spacing w:before="240" w:beforeAutospacing="0" w:after="60" w:afterAutospacing="0" w:line="480" w:lineRule="atLeast"/>
        <w:ind w:firstLine="0"/>
        <w:jc w:val="center"/>
        <w:outlineLvl w:val="0"/>
        <w:rPr>
          <w:rFonts w:ascii="Arial" w:eastAsia="Times New Roman" w:hAnsi="Arial" w:cs="Arial"/>
          <w:b/>
          <w:bCs/>
          <w:kern w:val="36"/>
          <w:sz w:val="32"/>
          <w:szCs w:val="32"/>
          <w:lang w:eastAsia="es-AR"/>
        </w:rPr>
      </w:pPr>
      <w:proofErr w:type="spellStart"/>
      <w:r w:rsidRPr="00093D76">
        <w:rPr>
          <w:rFonts w:ascii="Times New Roman" w:eastAsia="Times New Roman" w:hAnsi="Times New Roman" w:cs="Times New Roman"/>
          <w:kern w:val="36"/>
          <w:sz w:val="24"/>
          <w:szCs w:val="24"/>
          <w:lang w:eastAsia="es-AR"/>
        </w:rPr>
        <w:t>Caffaratti</w:t>
      </w:r>
      <w:proofErr w:type="spellEnd"/>
      <w:r w:rsidRPr="00093D76">
        <w:rPr>
          <w:rFonts w:ascii="Times New Roman" w:eastAsia="Times New Roman" w:hAnsi="Times New Roman" w:cs="Times New Roman"/>
          <w:kern w:val="36"/>
          <w:sz w:val="24"/>
          <w:szCs w:val="24"/>
          <w:lang w:eastAsia="es-AR"/>
        </w:rPr>
        <w:t>, M.; Briñón, M. C.</w:t>
      </w:r>
    </w:p>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eastAsia="es-AR"/>
        </w:rPr>
        <w:t>Introducción</w:t>
      </w:r>
    </w:p>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 xml:space="preserve">El objetivo de este informe es difundir información sobre hipérico y sus múltiples interacciones, particularmente aquellas que pueden conducir a la pérdida del efecto terapéutico de medicamentos bajo prescripción médica, entre otros, antirretrovirales, anticonceptivos orales, anticonvulsivantes, </w:t>
      </w:r>
      <w:proofErr w:type="spellStart"/>
      <w:r w:rsidRPr="00093D76">
        <w:rPr>
          <w:rFonts w:ascii="Times New Roman" w:eastAsia="Times New Roman" w:hAnsi="Times New Roman" w:cs="Times New Roman"/>
          <w:sz w:val="24"/>
          <w:szCs w:val="24"/>
          <w:lang w:eastAsia="es-AR"/>
        </w:rPr>
        <w:t>warfarina</w:t>
      </w:r>
      <w:proofErr w:type="spellEnd"/>
      <w:r w:rsidRPr="00093D76">
        <w:rPr>
          <w:rFonts w:ascii="Times New Roman" w:eastAsia="Times New Roman" w:hAnsi="Times New Roman" w:cs="Times New Roman"/>
          <w:sz w:val="24"/>
          <w:szCs w:val="24"/>
          <w:lang w:eastAsia="es-AR"/>
        </w:rPr>
        <w:t xml:space="preserve">, ciclosporina, </w:t>
      </w:r>
      <w:proofErr w:type="spellStart"/>
      <w:r w:rsidRPr="00093D76">
        <w:rPr>
          <w:rFonts w:ascii="Times New Roman" w:eastAsia="Times New Roman" w:hAnsi="Times New Roman" w:cs="Times New Roman"/>
          <w:sz w:val="24"/>
          <w:szCs w:val="24"/>
          <w:lang w:eastAsia="es-AR"/>
        </w:rPr>
        <w:t>digoxina</w:t>
      </w:r>
      <w:proofErr w:type="spellEnd"/>
      <w:r w:rsidRPr="00093D76">
        <w:rPr>
          <w:rFonts w:ascii="Times New Roman" w:eastAsia="Times New Roman" w:hAnsi="Times New Roman" w:cs="Times New Roman"/>
          <w:sz w:val="24"/>
          <w:szCs w:val="24"/>
          <w:lang w:eastAsia="es-AR"/>
        </w:rPr>
        <w:t xml:space="preserve"> y  teofilina.</w:t>
      </w:r>
      <w:r w:rsidRPr="00093D76">
        <w:rPr>
          <w:rFonts w:ascii="Times New Roman" w:eastAsia="Times New Roman" w:hAnsi="Times New Roman" w:cs="Times New Roman"/>
          <w:sz w:val="24"/>
          <w:szCs w:val="24"/>
          <w:vertAlign w:val="superscript"/>
          <w:lang w:eastAsia="es-AR"/>
        </w:rPr>
        <w:t>1</w:t>
      </w:r>
    </w:p>
    <w:p w:rsidR="00093D76" w:rsidRPr="00093D76" w:rsidRDefault="00093D76" w:rsidP="00093D76">
      <w:pPr>
        <w:spacing w:line="240" w:lineRule="auto"/>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Los extractos de la planta </w:t>
      </w:r>
      <w:proofErr w:type="spellStart"/>
      <w:r w:rsidRPr="00093D76">
        <w:rPr>
          <w:rFonts w:ascii="Times New Roman" w:eastAsia="Times New Roman" w:hAnsi="Times New Roman" w:cs="Times New Roman"/>
          <w:i/>
          <w:iCs/>
          <w:sz w:val="24"/>
          <w:szCs w:val="24"/>
          <w:lang w:eastAsia="es-AR"/>
        </w:rPr>
        <w:t>hypericum</w:t>
      </w:r>
      <w:proofErr w:type="spellEnd"/>
      <w:r w:rsidRPr="00093D76">
        <w:rPr>
          <w:rFonts w:ascii="Times New Roman" w:eastAsia="Times New Roman" w:hAnsi="Times New Roman" w:cs="Times New Roman"/>
          <w:i/>
          <w:iCs/>
          <w:sz w:val="24"/>
          <w:szCs w:val="24"/>
          <w:lang w:eastAsia="es-AR"/>
        </w:rPr>
        <w:t xml:space="preserve"> </w:t>
      </w:r>
      <w:proofErr w:type="spellStart"/>
      <w:r w:rsidRPr="00093D76">
        <w:rPr>
          <w:rFonts w:ascii="Times New Roman" w:eastAsia="Times New Roman" w:hAnsi="Times New Roman" w:cs="Times New Roman"/>
          <w:i/>
          <w:iCs/>
          <w:sz w:val="24"/>
          <w:szCs w:val="24"/>
          <w:lang w:eastAsia="es-AR"/>
        </w:rPr>
        <w:t>perforatum</w:t>
      </w:r>
      <w:proofErr w:type="spellEnd"/>
      <w:r w:rsidRPr="00093D76">
        <w:rPr>
          <w:rFonts w:ascii="Times New Roman" w:eastAsia="Times New Roman" w:hAnsi="Times New Roman" w:cs="Times New Roman"/>
          <w:sz w:val="24"/>
          <w:szCs w:val="24"/>
          <w:lang w:eastAsia="es-AR"/>
        </w:rPr>
        <w:t> </w:t>
      </w:r>
      <w:r w:rsidRPr="00093D76">
        <w:rPr>
          <w:rFonts w:ascii="Times New Roman" w:eastAsia="Times New Roman" w:hAnsi="Times New Roman" w:cs="Times New Roman"/>
          <w:i/>
          <w:iCs/>
          <w:sz w:val="24"/>
          <w:szCs w:val="24"/>
          <w:lang w:eastAsia="es-AR"/>
        </w:rPr>
        <w:t>L</w:t>
      </w:r>
      <w:r w:rsidRPr="00093D76">
        <w:rPr>
          <w:rFonts w:ascii="Times New Roman" w:eastAsia="Times New Roman" w:hAnsi="Times New Roman" w:cs="Times New Roman"/>
          <w:sz w:val="24"/>
          <w:szCs w:val="24"/>
          <w:lang w:eastAsia="es-AR"/>
        </w:rPr>
        <w:t xml:space="preserve">. (popularmente llamada hipérico o hierba de San Juan), son ampliamente utilizados en medicina popular para un rango de indicaciones, incluyendo trastornos depresivos, </w:t>
      </w:r>
      <w:proofErr w:type="spellStart"/>
      <w:r w:rsidRPr="00093D76">
        <w:rPr>
          <w:rFonts w:ascii="Times New Roman" w:eastAsia="Times New Roman" w:hAnsi="Times New Roman" w:cs="Times New Roman"/>
          <w:sz w:val="24"/>
          <w:szCs w:val="24"/>
          <w:lang w:eastAsia="es-AR"/>
        </w:rPr>
        <w:t>distimia</w:t>
      </w:r>
      <w:proofErr w:type="spellEnd"/>
      <w:r w:rsidRPr="00093D76">
        <w:rPr>
          <w:rFonts w:ascii="Times New Roman" w:eastAsia="Times New Roman" w:hAnsi="Times New Roman" w:cs="Times New Roman"/>
          <w:sz w:val="24"/>
          <w:szCs w:val="24"/>
          <w:lang w:eastAsia="es-AR"/>
        </w:rPr>
        <w:t xml:space="preserve"> y trastornos del sueño.</w:t>
      </w:r>
      <w:r w:rsidRPr="00093D76">
        <w:rPr>
          <w:rFonts w:ascii="Times New Roman" w:eastAsia="Times New Roman" w:hAnsi="Times New Roman" w:cs="Times New Roman"/>
          <w:sz w:val="24"/>
          <w:szCs w:val="24"/>
          <w:vertAlign w:val="superscript"/>
          <w:lang w:eastAsia="es-AR"/>
        </w:rPr>
        <w:t>1</w:t>
      </w:r>
    </w:p>
    <w:p w:rsidR="00093D76" w:rsidRPr="00093D76" w:rsidRDefault="00093D76" w:rsidP="00093D76">
      <w:pPr>
        <w:spacing w:line="240" w:lineRule="auto"/>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Diversos estudios clínicos han demostrado su utilidad en el tratamiento de la depresión leve a moderada; sin embargo no se ha dilucidado  cual es la sustancia responsable de la acción antidepresiva, ni su mecanismo de acción. </w:t>
      </w:r>
      <w:r w:rsidRPr="00093D76">
        <w:rPr>
          <w:rFonts w:ascii="Times New Roman" w:eastAsia="Times New Roman" w:hAnsi="Times New Roman" w:cs="Times New Roman"/>
          <w:sz w:val="24"/>
          <w:szCs w:val="24"/>
          <w:vertAlign w:val="superscript"/>
          <w:lang w:eastAsia="es-AR"/>
        </w:rPr>
        <w:t>2</w:t>
      </w:r>
    </w:p>
    <w:p w:rsidR="00093D76" w:rsidRPr="00093D76" w:rsidRDefault="00093D76" w:rsidP="00093D76">
      <w:pPr>
        <w:spacing w:line="240" w:lineRule="auto"/>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El hipérico se puede adquirir sin receta médica en farmacias y herboristerías, por lo que el paciente lo puede consumir sin el conocimiento del médico. La automedicación sin control es un asunto preocupante en una condición como la depresión, para la cual el hipérico debería solamente utilizarse bajo supervisión médica. </w:t>
      </w:r>
      <w:r w:rsidRPr="00093D76">
        <w:rPr>
          <w:rFonts w:ascii="Times New Roman" w:eastAsia="Times New Roman" w:hAnsi="Times New Roman" w:cs="Times New Roman"/>
          <w:sz w:val="24"/>
          <w:szCs w:val="24"/>
          <w:vertAlign w:val="superscript"/>
          <w:lang w:eastAsia="es-AR"/>
        </w:rPr>
        <w:t>3,4</w:t>
      </w:r>
    </w:p>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eastAsia="es-AR"/>
        </w:rPr>
        <w:t>Interacciones</w:t>
      </w:r>
    </w:p>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Algunos componentes del hipérico producen una inducción de varias enzimas que metabolizan medicamentos (CYP3A4, CYP1A2 y CYP2C9 del citocromo hepático P450) o que afectan a su biodisponibilidad (glicoproteína-P en el tubo digestivo). Por lo tanto, pueden producirse disminuciones en los niveles plasmáticos de los medicamentos que utilicen esas enzimas y, consecuentemente, una reducción de sus efectos terapéuticos, cuando se toman simultáneamente con hipérico. </w:t>
      </w:r>
      <w:r w:rsidRPr="00093D76">
        <w:rPr>
          <w:rFonts w:ascii="Times New Roman" w:eastAsia="Times New Roman" w:hAnsi="Times New Roman" w:cs="Times New Roman"/>
          <w:sz w:val="24"/>
          <w:szCs w:val="24"/>
          <w:vertAlign w:val="superscript"/>
          <w:lang w:eastAsia="es-AR"/>
        </w:rPr>
        <w:t>1, 2, 5</w:t>
      </w:r>
    </w:p>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La tabla 1 presenta algunas interacciones de hipérico con medicamentos.</w:t>
      </w:r>
    </w:p>
    <w:tbl>
      <w:tblPr>
        <w:tblW w:w="0" w:type="auto"/>
        <w:tblCellMar>
          <w:left w:w="0" w:type="dxa"/>
          <w:right w:w="0" w:type="dxa"/>
        </w:tblCellMar>
        <w:tblLook w:val="04A0" w:firstRow="1" w:lastRow="0" w:firstColumn="1" w:lastColumn="0" w:noHBand="0" w:noVBand="1"/>
      </w:tblPr>
      <w:tblGrid>
        <w:gridCol w:w="5257"/>
        <w:gridCol w:w="3525"/>
      </w:tblGrid>
      <w:tr w:rsidR="00093D76" w:rsidRPr="00093D76" w:rsidTr="00093D76">
        <w:tc>
          <w:tcPr>
            <w:tcW w:w="8644" w:type="dxa"/>
            <w:gridSpan w:val="2"/>
            <w:tcBorders>
              <w:top w:val="single" w:sz="8" w:space="0" w:color="auto"/>
              <w:left w:val="single" w:sz="8" w:space="0" w:color="auto"/>
              <w:bottom w:val="single" w:sz="8" w:space="0" w:color="auto"/>
              <w:right w:val="single" w:sz="8" w:space="0" w:color="auto"/>
            </w:tcBorders>
            <w:tcMar>
              <w:top w:w="85" w:type="dxa"/>
              <w:left w:w="108" w:type="dxa"/>
              <w:bottom w:w="85" w:type="dxa"/>
              <w:right w:w="170" w:type="dxa"/>
            </w:tcMar>
            <w:vAlign w:val="center"/>
            <w:hideMark/>
          </w:tcPr>
          <w:p w:rsidR="00093D76" w:rsidRPr="00093D76" w:rsidRDefault="00093D76" w:rsidP="00093D76">
            <w:pPr>
              <w:spacing w:line="240" w:lineRule="auto"/>
              <w:ind w:firstLine="0"/>
              <w:jc w:val="center"/>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eastAsia="es-AR"/>
              </w:rPr>
              <w:t>Tabla 1. Interacciones clínicamente importantes de hipérico*</w:t>
            </w:r>
          </w:p>
        </w:tc>
      </w:tr>
      <w:tr w:rsidR="00093D76" w:rsidRPr="00093D76" w:rsidTr="00093D76">
        <w:tc>
          <w:tcPr>
            <w:tcW w:w="3708" w:type="dxa"/>
            <w:tcBorders>
              <w:top w:val="nil"/>
              <w:left w:val="single" w:sz="8" w:space="0" w:color="auto"/>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jc w:val="center"/>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eastAsia="es-AR"/>
              </w:rPr>
              <w:t>Medicamento</w:t>
            </w:r>
          </w:p>
        </w:tc>
        <w:tc>
          <w:tcPr>
            <w:tcW w:w="4936" w:type="dxa"/>
            <w:tcBorders>
              <w:top w:val="nil"/>
              <w:left w:val="nil"/>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jc w:val="center"/>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eastAsia="es-AR"/>
              </w:rPr>
              <w:t>Efecto de la interacción</w:t>
            </w:r>
          </w:p>
        </w:tc>
      </w:tr>
      <w:tr w:rsidR="00093D76" w:rsidRPr="00093D76" w:rsidTr="00093D76">
        <w:tc>
          <w:tcPr>
            <w:tcW w:w="3708" w:type="dxa"/>
            <w:tcBorders>
              <w:top w:val="nil"/>
              <w:left w:val="single" w:sz="8" w:space="0" w:color="auto"/>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eastAsia="es-AR"/>
              </w:rPr>
              <w:t>Inhibidores de la proteasa</w:t>
            </w:r>
            <w:r w:rsidRPr="00093D76">
              <w:rPr>
                <w:rFonts w:ascii="Times New Roman" w:eastAsia="Times New Roman" w:hAnsi="Times New Roman" w:cs="Times New Roman"/>
                <w:sz w:val="24"/>
                <w:szCs w:val="24"/>
                <w:lang w:eastAsia="es-AR"/>
              </w:rPr>
              <w:t>(</w:t>
            </w:r>
            <w:proofErr w:type="spellStart"/>
            <w:r w:rsidRPr="00093D76">
              <w:rPr>
                <w:rFonts w:ascii="Times New Roman" w:eastAsia="Times New Roman" w:hAnsi="Times New Roman" w:cs="Times New Roman"/>
                <w:sz w:val="24"/>
                <w:szCs w:val="24"/>
                <w:lang w:eastAsia="es-AR"/>
              </w:rPr>
              <w:t>amprenavir,indinavir</w:t>
            </w:r>
            <w:proofErr w:type="spellEnd"/>
            <w:r w:rsidRPr="00093D76">
              <w:rPr>
                <w:rFonts w:ascii="Times New Roman" w:eastAsia="Times New Roman" w:hAnsi="Times New Roman" w:cs="Times New Roman"/>
                <w:sz w:val="24"/>
                <w:szCs w:val="24"/>
                <w:lang w:eastAsia="es-AR"/>
              </w:rPr>
              <w:t>, </w:t>
            </w:r>
            <w:proofErr w:type="spellStart"/>
            <w:r w:rsidRPr="00093D76">
              <w:rPr>
                <w:rFonts w:ascii="Times New Roman" w:eastAsia="Times New Roman" w:hAnsi="Times New Roman" w:cs="Times New Roman"/>
                <w:sz w:val="24"/>
                <w:szCs w:val="24"/>
                <w:lang w:eastAsia="es-AR"/>
              </w:rPr>
              <w:t>nelfinavir,ritonavir</w:t>
            </w:r>
            <w:proofErr w:type="spellEnd"/>
            <w:r w:rsidRPr="00093D76">
              <w:rPr>
                <w:rFonts w:ascii="Times New Roman" w:eastAsia="Times New Roman" w:hAnsi="Times New Roman" w:cs="Times New Roman"/>
                <w:sz w:val="24"/>
                <w:szCs w:val="24"/>
                <w:lang w:eastAsia="es-AR"/>
              </w:rPr>
              <w:t xml:space="preserve">, </w:t>
            </w:r>
            <w:proofErr w:type="spellStart"/>
            <w:r w:rsidRPr="00093D76">
              <w:rPr>
                <w:rFonts w:ascii="Times New Roman" w:eastAsia="Times New Roman" w:hAnsi="Times New Roman" w:cs="Times New Roman"/>
                <w:sz w:val="24"/>
                <w:szCs w:val="24"/>
                <w:lang w:eastAsia="es-AR"/>
              </w:rPr>
              <w:t>saquinavir</w:t>
            </w:r>
            <w:proofErr w:type="spellEnd"/>
            <w:r w:rsidRPr="00093D76">
              <w:rPr>
                <w:rFonts w:ascii="Times New Roman" w:eastAsia="Times New Roman" w:hAnsi="Times New Roman" w:cs="Times New Roman"/>
                <w:sz w:val="24"/>
                <w:szCs w:val="24"/>
                <w:lang w:eastAsia="es-AR"/>
              </w:rPr>
              <w:t>)</w:t>
            </w:r>
          </w:p>
        </w:tc>
        <w:tc>
          <w:tcPr>
            <w:tcW w:w="4936" w:type="dxa"/>
            <w:tcBorders>
              <w:top w:val="nil"/>
              <w:left w:val="nil"/>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 xml:space="preserve">Reduce las concentraciones plasmáticas de los Inhibidores de la proteasa. Puede conducir a un fallo en el tratamiento del VIH (virus de la  inmunodeficiencia </w:t>
            </w:r>
            <w:r w:rsidRPr="00093D76">
              <w:rPr>
                <w:rFonts w:ascii="Times New Roman" w:eastAsia="Times New Roman" w:hAnsi="Times New Roman" w:cs="Times New Roman"/>
                <w:sz w:val="24"/>
                <w:szCs w:val="24"/>
                <w:lang w:eastAsia="es-AR"/>
              </w:rPr>
              <w:lastRenderedPageBreak/>
              <w:t>humana) o al desarrollo de resistencia viral.</w:t>
            </w:r>
            <w:r w:rsidRPr="00093D76">
              <w:rPr>
                <w:rFonts w:ascii="Times New Roman" w:eastAsia="Times New Roman" w:hAnsi="Times New Roman" w:cs="Times New Roman"/>
                <w:sz w:val="24"/>
                <w:szCs w:val="24"/>
                <w:vertAlign w:val="superscript"/>
                <w:lang w:eastAsia="es-AR"/>
              </w:rPr>
              <w:t> 1, 4, 6, 7</w:t>
            </w:r>
          </w:p>
        </w:tc>
      </w:tr>
      <w:tr w:rsidR="00093D76" w:rsidRPr="00093D76" w:rsidTr="00093D76">
        <w:tc>
          <w:tcPr>
            <w:tcW w:w="3708" w:type="dxa"/>
            <w:tcBorders>
              <w:top w:val="nil"/>
              <w:left w:val="single" w:sz="8" w:space="0" w:color="auto"/>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eastAsia="es-AR"/>
              </w:rPr>
              <w:lastRenderedPageBreak/>
              <w:t>Inhibidores no-</w:t>
            </w:r>
            <w:proofErr w:type="spellStart"/>
            <w:r w:rsidRPr="00093D76">
              <w:rPr>
                <w:rFonts w:ascii="Times New Roman" w:eastAsia="Times New Roman" w:hAnsi="Times New Roman" w:cs="Times New Roman"/>
                <w:b/>
                <w:bCs/>
                <w:sz w:val="24"/>
                <w:szCs w:val="24"/>
                <w:lang w:eastAsia="es-AR"/>
              </w:rPr>
              <w:t>nucleosídicos</w:t>
            </w:r>
            <w:proofErr w:type="spellEnd"/>
            <w:r w:rsidRPr="00093D76">
              <w:rPr>
                <w:rFonts w:ascii="Times New Roman" w:eastAsia="Times New Roman" w:hAnsi="Times New Roman" w:cs="Times New Roman"/>
                <w:b/>
                <w:bCs/>
                <w:sz w:val="24"/>
                <w:szCs w:val="24"/>
                <w:lang w:eastAsia="es-AR"/>
              </w:rPr>
              <w:t xml:space="preserve"> de la transcriptasa reversa</w:t>
            </w:r>
            <w:r w:rsidRPr="00093D76">
              <w:rPr>
                <w:rFonts w:ascii="Times New Roman" w:eastAsia="Times New Roman" w:hAnsi="Times New Roman" w:cs="Times New Roman"/>
                <w:sz w:val="24"/>
                <w:szCs w:val="24"/>
                <w:lang w:eastAsia="es-AR"/>
              </w:rPr>
              <w:t> (</w:t>
            </w:r>
            <w:proofErr w:type="spellStart"/>
            <w:r w:rsidRPr="00093D76">
              <w:rPr>
                <w:rFonts w:ascii="Times New Roman" w:eastAsia="Times New Roman" w:hAnsi="Times New Roman" w:cs="Times New Roman"/>
                <w:sz w:val="24"/>
                <w:szCs w:val="24"/>
                <w:lang w:eastAsia="es-AR"/>
              </w:rPr>
              <w:t>efavirenz</w:t>
            </w:r>
            <w:proofErr w:type="spellEnd"/>
            <w:r w:rsidRPr="00093D76">
              <w:rPr>
                <w:rFonts w:ascii="Times New Roman" w:eastAsia="Times New Roman" w:hAnsi="Times New Roman" w:cs="Times New Roman"/>
                <w:sz w:val="24"/>
                <w:szCs w:val="24"/>
                <w:lang w:eastAsia="es-AR"/>
              </w:rPr>
              <w:t xml:space="preserve">, </w:t>
            </w:r>
            <w:proofErr w:type="spellStart"/>
            <w:r w:rsidRPr="00093D76">
              <w:rPr>
                <w:rFonts w:ascii="Times New Roman" w:eastAsia="Times New Roman" w:hAnsi="Times New Roman" w:cs="Times New Roman"/>
                <w:sz w:val="24"/>
                <w:szCs w:val="24"/>
                <w:lang w:eastAsia="es-AR"/>
              </w:rPr>
              <w:t>nevirapina</w:t>
            </w:r>
            <w:proofErr w:type="spellEnd"/>
            <w:r w:rsidRPr="00093D76">
              <w:rPr>
                <w:rFonts w:ascii="Times New Roman" w:eastAsia="Times New Roman" w:hAnsi="Times New Roman" w:cs="Times New Roman"/>
                <w:sz w:val="24"/>
                <w:szCs w:val="24"/>
                <w:lang w:eastAsia="es-AR"/>
              </w:rPr>
              <w:t xml:space="preserve">, </w:t>
            </w:r>
            <w:proofErr w:type="spellStart"/>
            <w:r w:rsidRPr="00093D76">
              <w:rPr>
                <w:rFonts w:ascii="Times New Roman" w:eastAsia="Times New Roman" w:hAnsi="Times New Roman" w:cs="Times New Roman"/>
                <w:sz w:val="24"/>
                <w:szCs w:val="24"/>
                <w:lang w:eastAsia="es-AR"/>
              </w:rPr>
              <w:t>delavirdina</w:t>
            </w:r>
            <w:proofErr w:type="spellEnd"/>
            <w:r w:rsidRPr="00093D76">
              <w:rPr>
                <w:rFonts w:ascii="Times New Roman" w:eastAsia="Times New Roman" w:hAnsi="Times New Roman" w:cs="Times New Roman"/>
                <w:sz w:val="24"/>
                <w:szCs w:val="24"/>
                <w:lang w:eastAsia="es-AR"/>
              </w:rPr>
              <w:t>)</w:t>
            </w:r>
          </w:p>
        </w:tc>
        <w:tc>
          <w:tcPr>
            <w:tcW w:w="4936" w:type="dxa"/>
            <w:tcBorders>
              <w:top w:val="nil"/>
              <w:left w:val="nil"/>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Reduce las concentraciones plasmáticas de los inhibidores no-</w:t>
            </w:r>
            <w:proofErr w:type="spellStart"/>
            <w:r w:rsidRPr="00093D76">
              <w:rPr>
                <w:rFonts w:ascii="Times New Roman" w:eastAsia="Times New Roman" w:hAnsi="Times New Roman" w:cs="Times New Roman"/>
                <w:sz w:val="24"/>
                <w:szCs w:val="24"/>
                <w:lang w:eastAsia="es-AR"/>
              </w:rPr>
              <w:t>nucleosídicos</w:t>
            </w:r>
            <w:proofErr w:type="spellEnd"/>
            <w:r w:rsidRPr="00093D76">
              <w:rPr>
                <w:rFonts w:ascii="Times New Roman" w:eastAsia="Times New Roman" w:hAnsi="Times New Roman" w:cs="Times New Roman"/>
                <w:sz w:val="24"/>
                <w:szCs w:val="24"/>
                <w:lang w:eastAsia="es-AR"/>
              </w:rPr>
              <w:t xml:space="preserve"> de la transcriptasa reversa. Puede conducir a un fallo en el tratamiento del VIH (virus de la inmunodeficiencia humana) o al desarrollo de resistencia viral.</w:t>
            </w:r>
            <w:r w:rsidRPr="00093D76">
              <w:rPr>
                <w:rFonts w:ascii="Times New Roman" w:eastAsia="Times New Roman" w:hAnsi="Times New Roman" w:cs="Times New Roman"/>
                <w:sz w:val="24"/>
                <w:szCs w:val="24"/>
                <w:vertAlign w:val="superscript"/>
                <w:lang w:eastAsia="es-AR"/>
              </w:rPr>
              <w:t> 1, 4, 6, 7</w:t>
            </w:r>
          </w:p>
        </w:tc>
      </w:tr>
      <w:tr w:rsidR="00093D76" w:rsidRPr="00093D76" w:rsidTr="00093D76">
        <w:tc>
          <w:tcPr>
            <w:tcW w:w="3708" w:type="dxa"/>
            <w:tcBorders>
              <w:top w:val="nil"/>
              <w:left w:val="single" w:sz="8" w:space="0" w:color="auto"/>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proofErr w:type="spellStart"/>
            <w:r w:rsidRPr="00093D76">
              <w:rPr>
                <w:rFonts w:ascii="Times New Roman" w:eastAsia="Times New Roman" w:hAnsi="Times New Roman" w:cs="Times New Roman"/>
                <w:b/>
                <w:bCs/>
                <w:sz w:val="24"/>
                <w:szCs w:val="24"/>
                <w:lang w:eastAsia="es-AR"/>
              </w:rPr>
              <w:t>Warfarina</w:t>
            </w:r>
            <w:proofErr w:type="spellEnd"/>
          </w:p>
        </w:tc>
        <w:tc>
          <w:tcPr>
            <w:tcW w:w="4936" w:type="dxa"/>
            <w:tcBorders>
              <w:top w:val="nil"/>
              <w:left w:val="nil"/>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 xml:space="preserve">Reduce las concentraciones plasmáticas de </w:t>
            </w:r>
            <w:proofErr w:type="spellStart"/>
            <w:r w:rsidRPr="00093D76">
              <w:rPr>
                <w:rFonts w:ascii="Times New Roman" w:eastAsia="Times New Roman" w:hAnsi="Times New Roman" w:cs="Times New Roman"/>
                <w:sz w:val="24"/>
                <w:szCs w:val="24"/>
                <w:lang w:eastAsia="es-AR"/>
              </w:rPr>
              <w:t>warfarina</w:t>
            </w:r>
            <w:proofErr w:type="spellEnd"/>
            <w:r w:rsidRPr="00093D76">
              <w:rPr>
                <w:rFonts w:ascii="Times New Roman" w:eastAsia="Times New Roman" w:hAnsi="Times New Roman" w:cs="Times New Roman"/>
                <w:sz w:val="24"/>
                <w:szCs w:val="24"/>
                <w:lang w:eastAsia="es-AR"/>
              </w:rPr>
              <w:t xml:space="preserve"> con la consecuente reducción del efecto anticoagulante. Necesidad de ajuste de dosis.</w:t>
            </w:r>
            <w:r w:rsidRPr="00093D76">
              <w:rPr>
                <w:rFonts w:ascii="Times New Roman" w:eastAsia="Times New Roman" w:hAnsi="Times New Roman" w:cs="Times New Roman"/>
                <w:sz w:val="24"/>
                <w:szCs w:val="24"/>
                <w:vertAlign w:val="superscript"/>
                <w:lang w:eastAsia="es-AR"/>
              </w:rPr>
              <w:t> 1, 4, 6, 7</w:t>
            </w:r>
          </w:p>
        </w:tc>
      </w:tr>
      <w:tr w:rsidR="00093D76" w:rsidRPr="00093D76" w:rsidTr="00093D76">
        <w:tc>
          <w:tcPr>
            <w:tcW w:w="3708" w:type="dxa"/>
            <w:tcBorders>
              <w:top w:val="nil"/>
              <w:left w:val="single" w:sz="8" w:space="0" w:color="auto"/>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eastAsia="es-AR"/>
              </w:rPr>
              <w:t>Ciclosporina</w:t>
            </w:r>
          </w:p>
        </w:tc>
        <w:tc>
          <w:tcPr>
            <w:tcW w:w="4936" w:type="dxa"/>
            <w:tcBorders>
              <w:top w:val="nil"/>
              <w:left w:val="nil"/>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 xml:space="preserve">Reduce las concentraciones plasmáticas de ciclosporina. Riesgo de rechazo agudo de </w:t>
            </w:r>
            <w:proofErr w:type="spellStart"/>
            <w:r w:rsidRPr="00093D76">
              <w:rPr>
                <w:rFonts w:ascii="Times New Roman" w:eastAsia="Times New Roman" w:hAnsi="Times New Roman" w:cs="Times New Roman"/>
                <w:sz w:val="24"/>
                <w:szCs w:val="24"/>
                <w:lang w:eastAsia="es-AR"/>
              </w:rPr>
              <w:t>transplante</w:t>
            </w:r>
            <w:proofErr w:type="spellEnd"/>
            <w:r w:rsidRPr="00093D76">
              <w:rPr>
                <w:rFonts w:ascii="Times New Roman" w:eastAsia="Times New Roman" w:hAnsi="Times New Roman" w:cs="Times New Roman"/>
                <w:sz w:val="24"/>
                <w:szCs w:val="24"/>
                <w:lang w:eastAsia="es-AR"/>
              </w:rPr>
              <w:t xml:space="preserve"> de órganos.</w:t>
            </w:r>
            <w:r w:rsidRPr="00093D76">
              <w:rPr>
                <w:rFonts w:ascii="Times New Roman" w:eastAsia="Times New Roman" w:hAnsi="Times New Roman" w:cs="Times New Roman"/>
                <w:sz w:val="24"/>
                <w:szCs w:val="24"/>
                <w:vertAlign w:val="superscript"/>
                <w:lang w:eastAsia="es-AR"/>
              </w:rPr>
              <w:t> 1, 4, 6, 7</w:t>
            </w:r>
          </w:p>
        </w:tc>
      </w:tr>
      <w:tr w:rsidR="00093D76" w:rsidRPr="00093D76" w:rsidTr="00093D76">
        <w:tc>
          <w:tcPr>
            <w:tcW w:w="3708" w:type="dxa"/>
            <w:tcBorders>
              <w:top w:val="nil"/>
              <w:left w:val="single" w:sz="8" w:space="0" w:color="auto"/>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eastAsia="es-AR"/>
              </w:rPr>
              <w:t>Anticonceptivos orales</w:t>
            </w:r>
          </w:p>
        </w:tc>
        <w:tc>
          <w:tcPr>
            <w:tcW w:w="4936" w:type="dxa"/>
            <w:tcBorders>
              <w:top w:val="nil"/>
              <w:left w:val="nil"/>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Reduce las concentraciones plasmáticas de los anticonceptivos orales con la consecuente reducción de su eficacia terapéutica.</w:t>
            </w:r>
            <w:r w:rsidRPr="00093D76">
              <w:rPr>
                <w:rFonts w:ascii="Times New Roman" w:eastAsia="Times New Roman" w:hAnsi="Times New Roman" w:cs="Times New Roman"/>
                <w:sz w:val="24"/>
                <w:szCs w:val="24"/>
                <w:vertAlign w:val="superscript"/>
                <w:lang w:eastAsia="es-AR"/>
              </w:rPr>
              <w:t> 1, 4, 6, 7</w:t>
            </w:r>
          </w:p>
        </w:tc>
      </w:tr>
      <w:tr w:rsidR="00093D76" w:rsidRPr="00093D76" w:rsidTr="00093D76">
        <w:tc>
          <w:tcPr>
            <w:tcW w:w="3708" w:type="dxa"/>
            <w:tcBorders>
              <w:top w:val="nil"/>
              <w:left w:val="single" w:sz="8" w:space="0" w:color="auto"/>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eastAsia="es-AR"/>
              </w:rPr>
              <w:t>Anticonvulsivantes </w:t>
            </w:r>
            <w:r w:rsidRPr="00093D76">
              <w:rPr>
                <w:rFonts w:ascii="Times New Roman" w:eastAsia="Times New Roman" w:hAnsi="Times New Roman" w:cs="Times New Roman"/>
                <w:sz w:val="24"/>
                <w:szCs w:val="24"/>
                <w:lang w:eastAsia="es-AR"/>
              </w:rPr>
              <w:t>(</w:t>
            </w:r>
            <w:proofErr w:type="spellStart"/>
            <w:r w:rsidRPr="00093D76">
              <w:rPr>
                <w:rFonts w:ascii="Times New Roman" w:eastAsia="Times New Roman" w:hAnsi="Times New Roman" w:cs="Times New Roman"/>
                <w:sz w:val="24"/>
                <w:szCs w:val="24"/>
                <w:lang w:eastAsia="es-AR"/>
              </w:rPr>
              <w:t>fenitoína</w:t>
            </w:r>
            <w:proofErr w:type="spellEnd"/>
            <w:r w:rsidRPr="00093D76">
              <w:rPr>
                <w:rFonts w:ascii="Times New Roman" w:eastAsia="Times New Roman" w:hAnsi="Times New Roman" w:cs="Times New Roman"/>
                <w:sz w:val="24"/>
                <w:szCs w:val="24"/>
                <w:lang w:eastAsia="es-AR"/>
              </w:rPr>
              <w:t xml:space="preserve">, </w:t>
            </w:r>
            <w:proofErr w:type="spellStart"/>
            <w:r w:rsidRPr="00093D76">
              <w:rPr>
                <w:rFonts w:ascii="Times New Roman" w:eastAsia="Times New Roman" w:hAnsi="Times New Roman" w:cs="Times New Roman"/>
                <w:sz w:val="24"/>
                <w:szCs w:val="24"/>
                <w:lang w:eastAsia="es-AR"/>
              </w:rPr>
              <w:t>carbamazepina</w:t>
            </w:r>
            <w:proofErr w:type="spellEnd"/>
            <w:r w:rsidRPr="00093D76">
              <w:rPr>
                <w:rFonts w:ascii="Times New Roman" w:eastAsia="Times New Roman" w:hAnsi="Times New Roman" w:cs="Times New Roman"/>
                <w:sz w:val="24"/>
                <w:szCs w:val="24"/>
                <w:lang w:eastAsia="es-AR"/>
              </w:rPr>
              <w:t xml:space="preserve">, </w:t>
            </w:r>
            <w:proofErr w:type="spellStart"/>
            <w:r w:rsidRPr="00093D76">
              <w:rPr>
                <w:rFonts w:ascii="Times New Roman" w:eastAsia="Times New Roman" w:hAnsi="Times New Roman" w:cs="Times New Roman"/>
                <w:sz w:val="24"/>
                <w:szCs w:val="24"/>
                <w:lang w:eastAsia="es-AR"/>
              </w:rPr>
              <w:t>fenobarbitona</w:t>
            </w:r>
            <w:proofErr w:type="spellEnd"/>
            <w:r w:rsidRPr="00093D76">
              <w:rPr>
                <w:rFonts w:ascii="Times New Roman" w:eastAsia="Times New Roman" w:hAnsi="Times New Roman" w:cs="Times New Roman"/>
                <w:sz w:val="24"/>
                <w:szCs w:val="24"/>
                <w:lang w:eastAsia="es-AR"/>
              </w:rPr>
              <w:t>)</w:t>
            </w:r>
          </w:p>
        </w:tc>
        <w:tc>
          <w:tcPr>
            <w:tcW w:w="4936" w:type="dxa"/>
            <w:tcBorders>
              <w:top w:val="nil"/>
              <w:left w:val="nil"/>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Reduce las concentraciones plasmáticas de los anticonvulsivantes con el consecuente riesgo de producir convulsiones.</w:t>
            </w:r>
            <w:r w:rsidRPr="00093D76">
              <w:rPr>
                <w:rFonts w:ascii="Times New Roman" w:eastAsia="Times New Roman" w:hAnsi="Times New Roman" w:cs="Times New Roman"/>
                <w:sz w:val="24"/>
                <w:szCs w:val="24"/>
                <w:vertAlign w:val="superscript"/>
                <w:lang w:eastAsia="es-AR"/>
              </w:rPr>
              <w:t> 1, 4, 6, 7</w:t>
            </w:r>
          </w:p>
        </w:tc>
      </w:tr>
      <w:tr w:rsidR="00093D76" w:rsidRPr="00093D76" w:rsidTr="00093D76">
        <w:tc>
          <w:tcPr>
            <w:tcW w:w="3708" w:type="dxa"/>
            <w:tcBorders>
              <w:top w:val="nil"/>
              <w:left w:val="single" w:sz="8" w:space="0" w:color="auto"/>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proofErr w:type="spellStart"/>
            <w:r w:rsidRPr="00093D76">
              <w:rPr>
                <w:rFonts w:ascii="Times New Roman" w:eastAsia="Times New Roman" w:hAnsi="Times New Roman" w:cs="Times New Roman"/>
                <w:b/>
                <w:bCs/>
                <w:sz w:val="24"/>
                <w:szCs w:val="24"/>
                <w:lang w:eastAsia="es-AR"/>
              </w:rPr>
              <w:t>Digoxina</w:t>
            </w:r>
            <w:proofErr w:type="spellEnd"/>
          </w:p>
        </w:tc>
        <w:tc>
          <w:tcPr>
            <w:tcW w:w="4936" w:type="dxa"/>
            <w:tcBorders>
              <w:top w:val="nil"/>
              <w:left w:val="nil"/>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 xml:space="preserve">Reduce las concentraciones plasmáticas de </w:t>
            </w:r>
            <w:proofErr w:type="spellStart"/>
            <w:r w:rsidRPr="00093D76">
              <w:rPr>
                <w:rFonts w:ascii="Times New Roman" w:eastAsia="Times New Roman" w:hAnsi="Times New Roman" w:cs="Times New Roman"/>
                <w:sz w:val="24"/>
                <w:szCs w:val="24"/>
                <w:lang w:eastAsia="es-AR"/>
              </w:rPr>
              <w:t>digoxina</w:t>
            </w:r>
            <w:proofErr w:type="spellEnd"/>
            <w:r w:rsidRPr="00093D76">
              <w:rPr>
                <w:rFonts w:ascii="Times New Roman" w:eastAsia="Times New Roman" w:hAnsi="Times New Roman" w:cs="Times New Roman"/>
                <w:sz w:val="24"/>
                <w:szCs w:val="24"/>
                <w:lang w:eastAsia="es-AR"/>
              </w:rPr>
              <w:t xml:space="preserve">. La reducción de eficacia de </w:t>
            </w:r>
            <w:proofErr w:type="spellStart"/>
            <w:r w:rsidRPr="00093D76">
              <w:rPr>
                <w:rFonts w:ascii="Times New Roman" w:eastAsia="Times New Roman" w:hAnsi="Times New Roman" w:cs="Times New Roman"/>
                <w:sz w:val="24"/>
                <w:szCs w:val="24"/>
                <w:lang w:eastAsia="es-AR"/>
              </w:rPr>
              <w:t>digoxina</w:t>
            </w:r>
            <w:proofErr w:type="spellEnd"/>
            <w:r w:rsidRPr="00093D76">
              <w:rPr>
                <w:rFonts w:ascii="Times New Roman" w:eastAsia="Times New Roman" w:hAnsi="Times New Roman" w:cs="Times New Roman"/>
                <w:sz w:val="24"/>
                <w:szCs w:val="24"/>
                <w:lang w:eastAsia="es-AR"/>
              </w:rPr>
              <w:t xml:space="preserve"> puede conducir a la pérdida del control del ritmo cardíaco o fallo cardíaco.</w:t>
            </w:r>
            <w:r w:rsidRPr="00093D76">
              <w:rPr>
                <w:rFonts w:ascii="Times New Roman" w:eastAsia="Times New Roman" w:hAnsi="Times New Roman" w:cs="Times New Roman"/>
                <w:sz w:val="24"/>
                <w:szCs w:val="24"/>
                <w:vertAlign w:val="superscript"/>
                <w:lang w:eastAsia="es-AR"/>
              </w:rPr>
              <w:t> 1, 4, 6, 7</w:t>
            </w:r>
          </w:p>
        </w:tc>
      </w:tr>
      <w:tr w:rsidR="00093D76" w:rsidRPr="00093D76" w:rsidTr="00093D76">
        <w:tc>
          <w:tcPr>
            <w:tcW w:w="3708" w:type="dxa"/>
            <w:tcBorders>
              <w:top w:val="nil"/>
              <w:left w:val="single" w:sz="8" w:space="0" w:color="auto"/>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eastAsia="es-AR"/>
              </w:rPr>
              <w:t>Teofilina</w:t>
            </w:r>
          </w:p>
        </w:tc>
        <w:tc>
          <w:tcPr>
            <w:tcW w:w="4936" w:type="dxa"/>
            <w:tcBorders>
              <w:top w:val="nil"/>
              <w:left w:val="nil"/>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Reduce las concentraciones plasmáticas de teofilina. La reducción de eficacia de teofilina puede conducir a la pérdida del control del asma.</w:t>
            </w:r>
          </w:p>
        </w:tc>
      </w:tr>
      <w:tr w:rsidR="00093D76" w:rsidRPr="00093D76" w:rsidTr="00093D76">
        <w:tc>
          <w:tcPr>
            <w:tcW w:w="3708" w:type="dxa"/>
            <w:tcBorders>
              <w:top w:val="nil"/>
              <w:left w:val="single" w:sz="8" w:space="0" w:color="auto"/>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proofErr w:type="spellStart"/>
            <w:r w:rsidRPr="00093D76">
              <w:rPr>
                <w:rFonts w:ascii="Times New Roman" w:eastAsia="Times New Roman" w:hAnsi="Times New Roman" w:cs="Times New Roman"/>
                <w:b/>
                <w:bCs/>
                <w:sz w:val="24"/>
                <w:szCs w:val="24"/>
                <w:lang w:eastAsia="es-AR"/>
              </w:rPr>
              <w:t>Irinotecan</w:t>
            </w:r>
            <w:proofErr w:type="spellEnd"/>
          </w:p>
        </w:tc>
        <w:tc>
          <w:tcPr>
            <w:tcW w:w="4936" w:type="dxa"/>
            <w:tcBorders>
              <w:top w:val="nil"/>
              <w:left w:val="nil"/>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 xml:space="preserve">Reduce las concentraciones plasmáticas de este agente </w:t>
            </w:r>
            <w:proofErr w:type="spellStart"/>
            <w:r w:rsidRPr="00093D76">
              <w:rPr>
                <w:rFonts w:ascii="Times New Roman" w:eastAsia="Times New Roman" w:hAnsi="Times New Roman" w:cs="Times New Roman"/>
                <w:sz w:val="24"/>
                <w:szCs w:val="24"/>
                <w:lang w:eastAsia="es-AR"/>
              </w:rPr>
              <w:t>quimioterápico</w:t>
            </w:r>
            <w:proofErr w:type="spellEnd"/>
            <w:r w:rsidRPr="00093D76">
              <w:rPr>
                <w:rFonts w:ascii="Times New Roman" w:eastAsia="Times New Roman" w:hAnsi="Times New Roman" w:cs="Times New Roman"/>
                <w:sz w:val="24"/>
                <w:szCs w:val="24"/>
                <w:lang w:eastAsia="es-AR"/>
              </w:rPr>
              <w:t>. </w:t>
            </w:r>
            <w:r w:rsidRPr="00093D76">
              <w:rPr>
                <w:rFonts w:ascii="Times New Roman" w:eastAsia="Times New Roman" w:hAnsi="Times New Roman" w:cs="Times New Roman"/>
                <w:sz w:val="24"/>
                <w:szCs w:val="24"/>
                <w:vertAlign w:val="superscript"/>
                <w:lang w:eastAsia="es-AR"/>
              </w:rPr>
              <w:t>1</w:t>
            </w:r>
          </w:p>
        </w:tc>
      </w:tr>
      <w:tr w:rsidR="00093D76" w:rsidRPr="00093D76" w:rsidTr="00093D76">
        <w:tc>
          <w:tcPr>
            <w:tcW w:w="3708" w:type="dxa"/>
            <w:tcBorders>
              <w:top w:val="nil"/>
              <w:left w:val="single" w:sz="8" w:space="0" w:color="auto"/>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eastAsia="es-AR"/>
              </w:rPr>
              <w:lastRenderedPageBreak/>
              <w:t>Anestésicos generales</w:t>
            </w:r>
          </w:p>
        </w:tc>
        <w:tc>
          <w:tcPr>
            <w:tcW w:w="4936" w:type="dxa"/>
            <w:tcBorders>
              <w:top w:val="nil"/>
              <w:left w:val="nil"/>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Puede intensificar o prolongar el efecto de los anestésicos generales. </w:t>
            </w:r>
            <w:r w:rsidRPr="00093D76">
              <w:rPr>
                <w:rFonts w:ascii="Times New Roman" w:eastAsia="Times New Roman" w:hAnsi="Times New Roman" w:cs="Times New Roman"/>
                <w:sz w:val="24"/>
                <w:szCs w:val="24"/>
                <w:vertAlign w:val="superscript"/>
                <w:lang w:eastAsia="es-AR"/>
              </w:rPr>
              <w:t>1</w:t>
            </w:r>
          </w:p>
        </w:tc>
      </w:tr>
      <w:tr w:rsidR="00093D76" w:rsidRPr="00093D76" w:rsidTr="00093D76">
        <w:tc>
          <w:tcPr>
            <w:tcW w:w="3708" w:type="dxa"/>
            <w:tcBorders>
              <w:top w:val="nil"/>
              <w:left w:val="single" w:sz="8" w:space="0" w:color="auto"/>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eastAsia="es-AR"/>
              </w:rPr>
              <w:t>Antidepresivos tricíclicos</w:t>
            </w:r>
            <w:r w:rsidRPr="00093D76">
              <w:rPr>
                <w:rFonts w:ascii="Times New Roman" w:eastAsia="Times New Roman" w:hAnsi="Times New Roman" w:cs="Times New Roman"/>
                <w:sz w:val="24"/>
                <w:szCs w:val="24"/>
                <w:lang w:eastAsia="es-AR"/>
              </w:rPr>
              <w:t>(</w:t>
            </w:r>
            <w:proofErr w:type="spellStart"/>
            <w:r w:rsidRPr="00093D76">
              <w:rPr>
                <w:rFonts w:ascii="Times New Roman" w:eastAsia="Times New Roman" w:hAnsi="Times New Roman" w:cs="Times New Roman"/>
                <w:sz w:val="24"/>
                <w:szCs w:val="24"/>
                <w:lang w:eastAsia="es-AR"/>
              </w:rPr>
              <w:t>amitriptilina</w:t>
            </w:r>
            <w:proofErr w:type="spellEnd"/>
            <w:r w:rsidRPr="00093D76">
              <w:rPr>
                <w:rFonts w:ascii="Times New Roman" w:eastAsia="Times New Roman" w:hAnsi="Times New Roman" w:cs="Times New Roman"/>
                <w:sz w:val="24"/>
                <w:szCs w:val="24"/>
                <w:lang w:eastAsia="es-AR"/>
              </w:rPr>
              <w:t xml:space="preserve">, </w:t>
            </w:r>
            <w:proofErr w:type="spellStart"/>
            <w:r w:rsidRPr="00093D76">
              <w:rPr>
                <w:rFonts w:ascii="Times New Roman" w:eastAsia="Times New Roman" w:hAnsi="Times New Roman" w:cs="Times New Roman"/>
                <w:sz w:val="24"/>
                <w:szCs w:val="24"/>
                <w:lang w:eastAsia="es-AR"/>
              </w:rPr>
              <w:t>imipramina</w:t>
            </w:r>
            <w:proofErr w:type="spellEnd"/>
            <w:r w:rsidRPr="00093D76">
              <w:rPr>
                <w:rFonts w:ascii="Times New Roman" w:eastAsia="Times New Roman" w:hAnsi="Times New Roman" w:cs="Times New Roman"/>
                <w:sz w:val="24"/>
                <w:szCs w:val="24"/>
                <w:lang w:eastAsia="es-AR"/>
              </w:rPr>
              <w:t xml:space="preserve">, </w:t>
            </w:r>
            <w:proofErr w:type="spellStart"/>
            <w:r w:rsidRPr="00093D76">
              <w:rPr>
                <w:rFonts w:ascii="Times New Roman" w:eastAsia="Times New Roman" w:hAnsi="Times New Roman" w:cs="Times New Roman"/>
                <w:sz w:val="24"/>
                <w:szCs w:val="24"/>
                <w:lang w:eastAsia="es-AR"/>
              </w:rPr>
              <w:t>clomipramina</w:t>
            </w:r>
            <w:proofErr w:type="spellEnd"/>
            <w:r w:rsidRPr="00093D76">
              <w:rPr>
                <w:rFonts w:ascii="Times New Roman" w:eastAsia="Times New Roman" w:hAnsi="Times New Roman" w:cs="Times New Roman"/>
                <w:sz w:val="24"/>
                <w:szCs w:val="24"/>
                <w:lang w:eastAsia="es-AR"/>
              </w:rPr>
              <w:t>, </w:t>
            </w:r>
            <w:proofErr w:type="spellStart"/>
            <w:r w:rsidRPr="00093D76">
              <w:rPr>
                <w:rFonts w:ascii="Times New Roman" w:eastAsia="Times New Roman" w:hAnsi="Times New Roman" w:cs="Times New Roman"/>
                <w:color w:val="000000"/>
                <w:lang w:eastAsia="es-AR"/>
              </w:rPr>
              <w:t>nortriptilina</w:t>
            </w:r>
            <w:proofErr w:type="spellEnd"/>
            <w:r w:rsidRPr="00093D76">
              <w:rPr>
                <w:rFonts w:ascii="Times New Roman" w:eastAsia="Times New Roman" w:hAnsi="Times New Roman" w:cs="Times New Roman"/>
                <w:lang w:eastAsia="es-AR"/>
              </w:rPr>
              <w:t>)</w:t>
            </w:r>
          </w:p>
        </w:tc>
        <w:tc>
          <w:tcPr>
            <w:tcW w:w="4936" w:type="dxa"/>
            <w:tcBorders>
              <w:top w:val="nil"/>
              <w:left w:val="nil"/>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Reduce las concentraciones plasmáticas de los antidepresivos tricíclicos. Puede reducir la eficacia de los mismos.</w:t>
            </w:r>
            <w:r w:rsidRPr="00093D76">
              <w:rPr>
                <w:rFonts w:ascii="Times New Roman" w:eastAsia="Times New Roman" w:hAnsi="Times New Roman" w:cs="Times New Roman"/>
                <w:sz w:val="24"/>
                <w:szCs w:val="24"/>
                <w:vertAlign w:val="superscript"/>
                <w:lang w:eastAsia="es-AR"/>
              </w:rPr>
              <w:t>1</w:t>
            </w:r>
          </w:p>
        </w:tc>
      </w:tr>
      <w:tr w:rsidR="00093D76" w:rsidRPr="00093D76" w:rsidTr="00093D76">
        <w:tc>
          <w:tcPr>
            <w:tcW w:w="3708" w:type="dxa"/>
            <w:tcBorders>
              <w:top w:val="nil"/>
              <w:left w:val="single" w:sz="8" w:space="0" w:color="auto"/>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eastAsia="es-AR"/>
              </w:rPr>
              <w:t xml:space="preserve">Inhibidores selectivos de la </w:t>
            </w:r>
            <w:proofErr w:type="spellStart"/>
            <w:r w:rsidRPr="00093D76">
              <w:rPr>
                <w:rFonts w:ascii="Times New Roman" w:eastAsia="Times New Roman" w:hAnsi="Times New Roman" w:cs="Times New Roman"/>
                <w:b/>
                <w:bCs/>
                <w:sz w:val="24"/>
                <w:szCs w:val="24"/>
                <w:lang w:eastAsia="es-AR"/>
              </w:rPr>
              <w:t>recaptación</w:t>
            </w:r>
            <w:proofErr w:type="spellEnd"/>
            <w:r w:rsidRPr="00093D76">
              <w:rPr>
                <w:rFonts w:ascii="Times New Roman" w:eastAsia="Times New Roman" w:hAnsi="Times New Roman" w:cs="Times New Roman"/>
                <w:b/>
                <w:bCs/>
                <w:sz w:val="24"/>
                <w:szCs w:val="24"/>
                <w:lang w:eastAsia="es-AR"/>
              </w:rPr>
              <w:t xml:space="preserve"> de serotonina</w:t>
            </w:r>
            <w:r w:rsidRPr="00093D76">
              <w:rPr>
                <w:rFonts w:ascii="Times New Roman" w:eastAsia="Times New Roman" w:hAnsi="Times New Roman" w:cs="Times New Roman"/>
                <w:sz w:val="24"/>
                <w:szCs w:val="24"/>
                <w:lang w:eastAsia="es-AR"/>
              </w:rPr>
              <w:t>(</w:t>
            </w:r>
            <w:proofErr w:type="spellStart"/>
            <w:r w:rsidRPr="00093D76">
              <w:rPr>
                <w:rFonts w:ascii="Times New Roman" w:eastAsia="Times New Roman" w:hAnsi="Times New Roman" w:cs="Times New Roman"/>
                <w:sz w:val="24"/>
                <w:szCs w:val="24"/>
                <w:lang w:eastAsia="es-AR"/>
              </w:rPr>
              <w:t>citalopram</w:t>
            </w:r>
            <w:proofErr w:type="spellEnd"/>
            <w:r w:rsidRPr="00093D76">
              <w:rPr>
                <w:rFonts w:ascii="Times New Roman" w:eastAsia="Times New Roman" w:hAnsi="Times New Roman" w:cs="Times New Roman"/>
                <w:sz w:val="24"/>
                <w:szCs w:val="24"/>
                <w:lang w:eastAsia="es-AR"/>
              </w:rPr>
              <w:t xml:space="preserve">, </w:t>
            </w:r>
            <w:proofErr w:type="spellStart"/>
            <w:r w:rsidRPr="00093D76">
              <w:rPr>
                <w:rFonts w:ascii="Times New Roman" w:eastAsia="Times New Roman" w:hAnsi="Times New Roman" w:cs="Times New Roman"/>
                <w:sz w:val="24"/>
                <w:szCs w:val="24"/>
                <w:lang w:eastAsia="es-AR"/>
              </w:rPr>
              <w:t>fluoxetina</w:t>
            </w:r>
            <w:proofErr w:type="spellEnd"/>
            <w:r w:rsidRPr="00093D76">
              <w:rPr>
                <w:rFonts w:ascii="Times New Roman" w:eastAsia="Times New Roman" w:hAnsi="Times New Roman" w:cs="Times New Roman"/>
                <w:sz w:val="24"/>
                <w:szCs w:val="24"/>
                <w:lang w:eastAsia="es-AR"/>
              </w:rPr>
              <w:t xml:space="preserve">, </w:t>
            </w:r>
            <w:proofErr w:type="spellStart"/>
            <w:r w:rsidRPr="00093D76">
              <w:rPr>
                <w:rFonts w:ascii="Times New Roman" w:eastAsia="Times New Roman" w:hAnsi="Times New Roman" w:cs="Times New Roman"/>
                <w:sz w:val="24"/>
                <w:szCs w:val="24"/>
                <w:lang w:eastAsia="es-AR"/>
              </w:rPr>
              <w:t>paroxetina</w:t>
            </w:r>
            <w:proofErr w:type="spellEnd"/>
            <w:r w:rsidRPr="00093D76">
              <w:rPr>
                <w:rFonts w:ascii="Times New Roman" w:eastAsia="Times New Roman" w:hAnsi="Times New Roman" w:cs="Times New Roman"/>
                <w:sz w:val="24"/>
                <w:szCs w:val="24"/>
                <w:lang w:eastAsia="es-AR"/>
              </w:rPr>
              <w:t xml:space="preserve">, </w:t>
            </w:r>
            <w:proofErr w:type="spellStart"/>
            <w:r w:rsidRPr="00093D76">
              <w:rPr>
                <w:rFonts w:ascii="Times New Roman" w:eastAsia="Times New Roman" w:hAnsi="Times New Roman" w:cs="Times New Roman"/>
                <w:sz w:val="24"/>
                <w:szCs w:val="24"/>
                <w:lang w:eastAsia="es-AR"/>
              </w:rPr>
              <w:t>sertralina</w:t>
            </w:r>
            <w:proofErr w:type="spellEnd"/>
            <w:r w:rsidRPr="00093D76">
              <w:rPr>
                <w:rFonts w:ascii="Times New Roman" w:eastAsia="Times New Roman" w:hAnsi="Times New Roman" w:cs="Times New Roman"/>
                <w:sz w:val="24"/>
                <w:szCs w:val="24"/>
                <w:lang w:eastAsia="es-AR"/>
              </w:rPr>
              <w:t xml:space="preserve">, </w:t>
            </w:r>
            <w:proofErr w:type="spellStart"/>
            <w:r w:rsidRPr="00093D76">
              <w:rPr>
                <w:rFonts w:ascii="Times New Roman" w:eastAsia="Times New Roman" w:hAnsi="Times New Roman" w:cs="Times New Roman"/>
                <w:sz w:val="24"/>
                <w:szCs w:val="24"/>
                <w:lang w:eastAsia="es-AR"/>
              </w:rPr>
              <w:t>fluvoxamina</w:t>
            </w:r>
            <w:proofErr w:type="spellEnd"/>
            <w:r w:rsidRPr="00093D76">
              <w:rPr>
                <w:rFonts w:ascii="Times New Roman" w:eastAsia="Times New Roman" w:hAnsi="Times New Roman" w:cs="Times New Roman"/>
                <w:sz w:val="24"/>
                <w:szCs w:val="24"/>
                <w:lang w:eastAsia="es-AR"/>
              </w:rPr>
              <w:t>)</w:t>
            </w:r>
          </w:p>
        </w:tc>
        <w:tc>
          <w:tcPr>
            <w:tcW w:w="4936" w:type="dxa"/>
            <w:tcBorders>
              <w:top w:val="nil"/>
              <w:left w:val="nil"/>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P</w:t>
            </w:r>
            <w:proofErr w:type="spellStart"/>
            <w:r w:rsidRPr="00093D76">
              <w:rPr>
                <w:rFonts w:ascii="Times New Roman" w:eastAsia="Times New Roman" w:hAnsi="Times New Roman" w:cs="Times New Roman"/>
                <w:sz w:val="24"/>
                <w:szCs w:val="24"/>
                <w:lang w:val="es-ES_tradnl" w:eastAsia="es-AR"/>
              </w:rPr>
              <w:t>otenciación</w:t>
            </w:r>
            <w:proofErr w:type="spellEnd"/>
            <w:r w:rsidRPr="00093D76">
              <w:rPr>
                <w:rFonts w:ascii="Times New Roman" w:eastAsia="Times New Roman" w:hAnsi="Times New Roman" w:cs="Times New Roman"/>
                <w:sz w:val="24"/>
                <w:szCs w:val="24"/>
                <w:lang w:val="es-ES_tradnl" w:eastAsia="es-AR"/>
              </w:rPr>
              <w:t xml:space="preserve"> de la toxicidad por posible adición de sus efectos sobre los niveles de serotonina.</w:t>
            </w:r>
            <w:r w:rsidRPr="00093D76">
              <w:rPr>
                <w:rFonts w:ascii="Times New Roman" w:eastAsia="Times New Roman" w:hAnsi="Times New Roman" w:cs="Times New Roman"/>
                <w:sz w:val="24"/>
                <w:szCs w:val="24"/>
                <w:vertAlign w:val="superscript"/>
                <w:lang w:val="es-ES_tradnl" w:eastAsia="es-AR"/>
              </w:rPr>
              <w:t> </w:t>
            </w:r>
            <w:r w:rsidRPr="00093D76">
              <w:rPr>
                <w:rFonts w:ascii="Times New Roman" w:eastAsia="Times New Roman" w:hAnsi="Times New Roman" w:cs="Times New Roman"/>
                <w:sz w:val="24"/>
                <w:szCs w:val="24"/>
                <w:vertAlign w:val="superscript"/>
                <w:lang w:eastAsia="es-AR"/>
              </w:rPr>
              <w:t>1, 4, 6, 7</w:t>
            </w:r>
          </w:p>
        </w:tc>
      </w:tr>
      <w:tr w:rsidR="00093D76" w:rsidRPr="00093D76" w:rsidTr="00093D76">
        <w:tc>
          <w:tcPr>
            <w:tcW w:w="3708" w:type="dxa"/>
            <w:tcBorders>
              <w:top w:val="nil"/>
              <w:left w:val="single" w:sz="8" w:space="0" w:color="auto"/>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eastAsia="es-AR"/>
              </w:rPr>
              <w:t xml:space="preserve">Inhibidores de la </w:t>
            </w:r>
            <w:proofErr w:type="spellStart"/>
            <w:r w:rsidRPr="00093D76">
              <w:rPr>
                <w:rFonts w:ascii="Times New Roman" w:eastAsia="Times New Roman" w:hAnsi="Times New Roman" w:cs="Times New Roman"/>
                <w:b/>
                <w:bCs/>
                <w:sz w:val="24"/>
                <w:szCs w:val="24"/>
                <w:lang w:eastAsia="es-AR"/>
              </w:rPr>
              <w:t>monoaminooxidasa</w:t>
            </w:r>
            <w:proofErr w:type="spellEnd"/>
            <w:r w:rsidRPr="00093D76">
              <w:rPr>
                <w:rFonts w:ascii="Times New Roman" w:eastAsia="Times New Roman" w:hAnsi="Times New Roman" w:cs="Times New Roman"/>
                <w:b/>
                <w:bCs/>
                <w:sz w:val="24"/>
                <w:szCs w:val="24"/>
                <w:lang w:eastAsia="es-AR"/>
              </w:rPr>
              <w:t xml:space="preserve"> (IMAO)</w:t>
            </w:r>
            <w:r w:rsidRPr="00093D76">
              <w:rPr>
                <w:rFonts w:ascii="Times New Roman" w:eastAsia="Times New Roman" w:hAnsi="Times New Roman" w:cs="Times New Roman"/>
                <w:sz w:val="24"/>
                <w:szCs w:val="24"/>
                <w:lang w:eastAsia="es-AR"/>
              </w:rPr>
              <w:t>(</w:t>
            </w:r>
            <w:proofErr w:type="spellStart"/>
            <w:r w:rsidRPr="00093D76">
              <w:rPr>
                <w:rFonts w:ascii="Times New Roman" w:eastAsia="Times New Roman" w:hAnsi="Times New Roman" w:cs="Times New Roman"/>
                <w:sz w:val="24"/>
                <w:szCs w:val="24"/>
                <w:lang w:eastAsia="es-AR"/>
              </w:rPr>
              <w:t>selegilina</w:t>
            </w:r>
            <w:proofErr w:type="spellEnd"/>
            <w:r w:rsidRPr="00093D76">
              <w:rPr>
                <w:rFonts w:ascii="Times New Roman" w:eastAsia="Times New Roman" w:hAnsi="Times New Roman" w:cs="Times New Roman"/>
                <w:sz w:val="24"/>
                <w:szCs w:val="24"/>
                <w:lang w:eastAsia="es-AR"/>
              </w:rPr>
              <w:t>, </w:t>
            </w:r>
            <w:proofErr w:type="spellStart"/>
            <w:r w:rsidRPr="00093D76">
              <w:rPr>
                <w:rFonts w:ascii="Times New Roman" w:eastAsia="Times New Roman" w:hAnsi="Times New Roman" w:cs="Times New Roman"/>
                <w:color w:val="000000"/>
                <w:sz w:val="24"/>
                <w:szCs w:val="24"/>
                <w:lang w:eastAsia="es-AR"/>
              </w:rPr>
              <w:t>tranilcipromina</w:t>
            </w:r>
            <w:proofErr w:type="spellEnd"/>
            <w:r w:rsidRPr="00093D76">
              <w:rPr>
                <w:rFonts w:ascii="Times New Roman" w:eastAsia="Times New Roman" w:hAnsi="Times New Roman" w:cs="Times New Roman"/>
                <w:color w:val="000000"/>
                <w:sz w:val="24"/>
                <w:szCs w:val="24"/>
                <w:lang w:eastAsia="es-AR"/>
              </w:rPr>
              <w:t>)</w:t>
            </w:r>
          </w:p>
        </w:tc>
        <w:tc>
          <w:tcPr>
            <w:tcW w:w="4936" w:type="dxa"/>
            <w:tcBorders>
              <w:top w:val="nil"/>
              <w:left w:val="nil"/>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P</w:t>
            </w:r>
            <w:proofErr w:type="spellStart"/>
            <w:r w:rsidRPr="00093D76">
              <w:rPr>
                <w:rFonts w:ascii="Times New Roman" w:eastAsia="Times New Roman" w:hAnsi="Times New Roman" w:cs="Times New Roman"/>
                <w:sz w:val="24"/>
                <w:szCs w:val="24"/>
                <w:lang w:val="es-ES_tradnl" w:eastAsia="es-AR"/>
              </w:rPr>
              <w:t>otenciación</w:t>
            </w:r>
            <w:proofErr w:type="spellEnd"/>
            <w:r w:rsidRPr="00093D76">
              <w:rPr>
                <w:rFonts w:ascii="Times New Roman" w:eastAsia="Times New Roman" w:hAnsi="Times New Roman" w:cs="Times New Roman"/>
                <w:sz w:val="24"/>
                <w:szCs w:val="24"/>
                <w:lang w:val="es-ES_tradnl" w:eastAsia="es-AR"/>
              </w:rPr>
              <w:t xml:space="preserve"> de la toxicidad por posible adición de sus efectos sobre los niveles de serotonina. </w:t>
            </w:r>
            <w:r w:rsidRPr="00093D76">
              <w:rPr>
                <w:rFonts w:ascii="Times New Roman" w:eastAsia="Times New Roman" w:hAnsi="Times New Roman" w:cs="Times New Roman"/>
                <w:sz w:val="24"/>
                <w:szCs w:val="24"/>
                <w:vertAlign w:val="superscript"/>
                <w:lang w:val="es-ES_tradnl" w:eastAsia="es-AR"/>
              </w:rPr>
              <w:t>1,7</w:t>
            </w:r>
          </w:p>
        </w:tc>
      </w:tr>
      <w:tr w:rsidR="00093D76" w:rsidRPr="00093D76" w:rsidTr="00093D76">
        <w:tc>
          <w:tcPr>
            <w:tcW w:w="3708" w:type="dxa"/>
            <w:tcBorders>
              <w:top w:val="nil"/>
              <w:left w:val="single" w:sz="8" w:space="0" w:color="auto"/>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jc w:val="left"/>
              <w:rPr>
                <w:rFonts w:ascii="Times New Roman" w:eastAsia="Times New Roman" w:hAnsi="Times New Roman" w:cs="Times New Roman"/>
                <w:sz w:val="24"/>
                <w:szCs w:val="24"/>
                <w:lang w:eastAsia="es-AR"/>
              </w:rPr>
            </w:pPr>
            <w:proofErr w:type="spellStart"/>
            <w:r w:rsidRPr="00093D76">
              <w:rPr>
                <w:rFonts w:ascii="Times New Roman" w:eastAsia="Times New Roman" w:hAnsi="Times New Roman" w:cs="Times New Roman"/>
                <w:b/>
                <w:bCs/>
                <w:sz w:val="24"/>
                <w:szCs w:val="24"/>
                <w:lang w:eastAsia="es-AR"/>
              </w:rPr>
              <w:t>Triptanos</w:t>
            </w:r>
            <w:proofErr w:type="spellEnd"/>
            <w:r w:rsidRPr="00093D76">
              <w:rPr>
                <w:rFonts w:ascii="Times New Roman" w:eastAsia="Times New Roman" w:hAnsi="Times New Roman" w:cs="Times New Roman"/>
                <w:b/>
                <w:bCs/>
                <w:sz w:val="24"/>
                <w:szCs w:val="24"/>
                <w:lang w:eastAsia="es-AR"/>
              </w:rPr>
              <w:t> </w:t>
            </w:r>
            <w:r w:rsidRPr="00093D76">
              <w:rPr>
                <w:rFonts w:ascii="Times New Roman" w:eastAsia="Times New Roman" w:hAnsi="Times New Roman" w:cs="Times New Roman"/>
                <w:sz w:val="24"/>
                <w:szCs w:val="24"/>
                <w:lang w:eastAsia="es-AR"/>
              </w:rPr>
              <w:t>(</w:t>
            </w:r>
            <w:proofErr w:type="spellStart"/>
            <w:r w:rsidRPr="00093D76">
              <w:rPr>
                <w:rFonts w:ascii="Times New Roman" w:eastAsia="Times New Roman" w:hAnsi="Times New Roman" w:cs="Times New Roman"/>
                <w:sz w:val="24"/>
                <w:szCs w:val="24"/>
                <w:lang w:eastAsia="es-AR"/>
              </w:rPr>
              <w:t>sumatriptan</w:t>
            </w:r>
            <w:proofErr w:type="spellEnd"/>
            <w:r w:rsidRPr="00093D76">
              <w:rPr>
                <w:rFonts w:ascii="Times New Roman" w:eastAsia="Times New Roman" w:hAnsi="Times New Roman" w:cs="Times New Roman"/>
                <w:sz w:val="24"/>
                <w:szCs w:val="24"/>
                <w:lang w:eastAsia="es-AR"/>
              </w:rPr>
              <w:t>, </w:t>
            </w:r>
            <w:proofErr w:type="spellStart"/>
            <w:r w:rsidRPr="00093D76">
              <w:rPr>
                <w:rFonts w:ascii="Times New Roman" w:eastAsia="Times New Roman" w:hAnsi="Times New Roman" w:cs="Times New Roman"/>
                <w:sz w:val="24"/>
                <w:szCs w:val="24"/>
                <w:lang w:eastAsia="es-AR"/>
              </w:rPr>
              <w:t>naratriptan,rizatriptan</w:t>
            </w:r>
            <w:proofErr w:type="spellEnd"/>
            <w:r w:rsidRPr="00093D76">
              <w:rPr>
                <w:rFonts w:ascii="Times New Roman" w:eastAsia="Times New Roman" w:hAnsi="Times New Roman" w:cs="Times New Roman"/>
                <w:sz w:val="24"/>
                <w:szCs w:val="24"/>
                <w:lang w:eastAsia="es-AR"/>
              </w:rPr>
              <w:t xml:space="preserve">, </w:t>
            </w:r>
            <w:proofErr w:type="spellStart"/>
            <w:r w:rsidRPr="00093D76">
              <w:rPr>
                <w:rFonts w:ascii="Times New Roman" w:eastAsia="Times New Roman" w:hAnsi="Times New Roman" w:cs="Times New Roman"/>
                <w:sz w:val="24"/>
                <w:szCs w:val="24"/>
                <w:lang w:eastAsia="es-AR"/>
              </w:rPr>
              <w:t>zolmitriptan</w:t>
            </w:r>
            <w:proofErr w:type="spellEnd"/>
            <w:r w:rsidRPr="00093D76">
              <w:rPr>
                <w:rFonts w:ascii="Times New Roman" w:eastAsia="Times New Roman" w:hAnsi="Times New Roman" w:cs="Times New Roman"/>
                <w:sz w:val="24"/>
                <w:szCs w:val="24"/>
                <w:lang w:eastAsia="es-AR"/>
              </w:rPr>
              <w:t>)</w:t>
            </w:r>
          </w:p>
        </w:tc>
        <w:tc>
          <w:tcPr>
            <w:tcW w:w="4936" w:type="dxa"/>
            <w:tcBorders>
              <w:top w:val="nil"/>
              <w:left w:val="nil"/>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P</w:t>
            </w:r>
            <w:proofErr w:type="spellStart"/>
            <w:r w:rsidRPr="00093D76">
              <w:rPr>
                <w:rFonts w:ascii="Times New Roman" w:eastAsia="Times New Roman" w:hAnsi="Times New Roman" w:cs="Times New Roman"/>
                <w:sz w:val="24"/>
                <w:szCs w:val="24"/>
                <w:lang w:val="es-ES_tradnl" w:eastAsia="es-AR"/>
              </w:rPr>
              <w:t>otenciación</w:t>
            </w:r>
            <w:proofErr w:type="spellEnd"/>
            <w:r w:rsidRPr="00093D76">
              <w:rPr>
                <w:rFonts w:ascii="Times New Roman" w:eastAsia="Times New Roman" w:hAnsi="Times New Roman" w:cs="Times New Roman"/>
                <w:sz w:val="24"/>
                <w:szCs w:val="24"/>
                <w:lang w:val="es-ES_tradnl" w:eastAsia="es-AR"/>
              </w:rPr>
              <w:t xml:space="preserve"> de la toxicidad por posible adición de sus efectos sobre los niveles de serotonina.</w:t>
            </w:r>
            <w:r w:rsidRPr="00093D76">
              <w:rPr>
                <w:rFonts w:ascii="Times New Roman" w:eastAsia="Times New Roman" w:hAnsi="Times New Roman" w:cs="Times New Roman"/>
                <w:sz w:val="24"/>
                <w:szCs w:val="24"/>
                <w:vertAlign w:val="superscript"/>
                <w:lang w:val="es-ES_tradnl" w:eastAsia="es-AR"/>
              </w:rPr>
              <w:t> 1, 4, 6, 8</w:t>
            </w:r>
          </w:p>
        </w:tc>
      </w:tr>
      <w:tr w:rsidR="00093D76" w:rsidRPr="00093D76" w:rsidTr="00093D76">
        <w:tc>
          <w:tcPr>
            <w:tcW w:w="3708" w:type="dxa"/>
            <w:tcBorders>
              <w:top w:val="nil"/>
              <w:left w:val="single" w:sz="8" w:space="0" w:color="auto"/>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eastAsia="es-AR"/>
              </w:rPr>
              <w:t xml:space="preserve">Agentes </w:t>
            </w:r>
            <w:proofErr w:type="spellStart"/>
            <w:r w:rsidRPr="00093D76">
              <w:rPr>
                <w:rFonts w:ascii="Times New Roman" w:eastAsia="Times New Roman" w:hAnsi="Times New Roman" w:cs="Times New Roman"/>
                <w:b/>
                <w:bCs/>
                <w:sz w:val="24"/>
                <w:szCs w:val="24"/>
                <w:lang w:eastAsia="es-AR"/>
              </w:rPr>
              <w:t>fotosensibilizantes</w:t>
            </w:r>
            <w:proofErr w:type="spellEnd"/>
            <w:r w:rsidRPr="00093D76">
              <w:rPr>
                <w:rFonts w:ascii="Times New Roman" w:eastAsia="Times New Roman" w:hAnsi="Times New Roman" w:cs="Times New Roman"/>
                <w:sz w:val="24"/>
                <w:szCs w:val="24"/>
                <w:lang w:eastAsia="es-AR"/>
              </w:rPr>
              <w:t>(</w:t>
            </w:r>
            <w:proofErr w:type="spellStart"/>
            <w:r w:rsidRPr="00093D76">
              <w:rPr>
                <w:rFonts w:ascii="Times New Roman" w:eastAsia="Times New Roman" w:hAnsi="Times New Roman" w:cs="Times New Roman"/>
                <w:sz w:val="24"/>
                <w:szCs w:val="24"/>
                <w:lang w:eastAsia="es-AR"/>
              </w:rPr>
              <w:t>psoralenos</w:t>
            </w:r>
            <w:proofErr w:type="spellEnd"/>
            <w:r w:rsidRPr="00093D76">
              <w:rPr>
                <w:rFonts w:ascii="Times New Roman" w:eastAsia="Times New Roman" w:hAnsi="Times New Roman" w:cs="Times New Roman"/>
                <w:sz w:val="24"/>
                <w:szCs w:val="24"/>
                <w:lang w:eastAsia="es-AR"/>
              </w:rPr>
              <w:t xml:space="preserve">, </w:t>
            </w:r>
            <w:proofErr w:type="spellStart"/>
            <w:r w:rsidRPr="00093D76">
              <w:rPr>
                <w:rFonts w:ascii="Times New Roman" w:eastAsia="Times New Roman" w:hAnsi="Times New Roman" w:cs="Times New Roman"/>
                <w:sz w:val="24"/>
                <w:szCs w:val="24"/>
                <w:lang w:eastAsia="es-AR"/>
              </w:rPr>
              <w:t>retinoides</w:t>
            </w:r>
            <w:proofErr w:type="spellEnd"/>
            <w:r w:rsidRPr="00093D76">
              <w:rPr>
                <w:rFonts w:ascii="Times New Roman" w:eastAsia="Times New Roman" w:hAnsi="Times New Roman" w:cs="Times New Roman"/>
                <w:sz w:val="24"/>
                <w:szCs w:val="24"/>
                <w:lang w:eastAsia="es-AR"/>
              </w:rPr>
              <w:t>, tetraciclinas)</w:t>
            </w:r>
          </w:p>
        </w:tc>
        <w:tc>
          <w:tcPr>
            <w:tcW w:w="4936" w:type="dxa"/>
            <w:tcBorders>
              <w:top w:val="nil"/>
              <w:left w:val="nil"/>
              <w:bottom w:val="single" w:sz="8" w:space="0" w:color="auto"/>
              <w:right w:val="single" w:sz="8" w:space="0" w:color="auto"/>
            </w:tcBorders>
            <w:tcMar>
              <w:top w:w="85" w:type="dxa"/>
              <w:left w:w="108" w:type="dxa"/>
              <w:bottom w:w="85" w:type="dxa"/>
              <w:right w:w="170" w:type="dxa"/>
            </w:tcMar>
            <w:hideMark/>
          </w:tcPr>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 xml:space="preserve">Aumenta la </w:t>
            </w:r>
            <w:proofErr w:type="spellStart"/>
            <w:r w:rsidRPr="00093D76">
              <w:rPr>
                <w:rFonts w:ascii="Times New Roman" w:eastAsia="Times New Roman" w:hAnsi="Times New Roman" w:cs="Times New Roman"/>
                <w:sz w:val="24"/>
                <w:szCs w:val="24"/>
                <w:lang w:eastAsia="es-AR"/>
              </w:rPr>
              <w:t>fototoxicidad</w:t>
            </w:r>
            <w:proofErr w:type="spellEnd"/>
            <w:r w:rsidRPr="00093D76">
              <w:rPr>
                <w:rFonts w:ascii="Times New Roman" w:eastAsia="Times New Roman" w:hAnsi="Times New Roman" w:cs="Times New Roman"/>
                <w:sz w:val="24"/>
                <w:szCs w:val="24"/>
                <w:lang w:eastAsia="es-AR"/>
              </w:rPr>
              <w:t xml:space="preserve"> asociada a agentes fotosensibilizantes.</w:t>
            </w:r>
            <w:r w:rsidRPr="00093D76">
              <w:rPr>
                <w:rFonts w:ascii="Times New Roman" w:eastAsia="Times New Roman" w:hAnsi="Times New Roman" w:cs="Times New Roman"/>
                <w:sz w:val="24"/>
                <w:szCs w:val="24"/>
                <w:vertAlign w:val="superscript"/>
                <w:lang w:eastAsia="es-AR"/>
              </w:rPr>
              <w:t>1, 8</w:t>
            </w:r>
          </w:p>
        </w:tc>
      </w:tr>
    </w:tbl>
    <w:p w:rsidR="00093D76" w:rsidRPr="00093D76" w:rsidRDefault="00093D76" w:rsidP="00093D76">
      <w:pPr>
        <w:spacing w:line="240" w:lineRule="auto"/>
        <w:ind w:left="1545"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eastAsia="es-AR"/>
        </w:rPr>
        <w:t>*Nota: </w:t>
      </w:r>
      <w:r w:rsidRPr="00093D76">
        <w:rPr>
          <w:rFonts w:ascii="Times New Roman" w:eastAsia="Times New Roman" w:hAnsi="Times New Roman" w:cs="Times New Roman"/>
          <w:sz w:val="24"/>
          <w:szCs w:val="24"/>
          <w:lang w:eastAsia="es-AR"/>
        </w:rPr>
        <w:t>El listado de medicamentos incluidos en la tabla no es exhaustivo.</w:t>
      </w:r>
    </w:p>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eastAsia="es-AR"/>
        </w:rPr>
        <w:t>Contraindicaciones </w:t>
      </w:r>
      <w:r w:rsidRPr="00093D76">
        <w:rPr>
          <w:rFonts w:ascii="Times New Roman" w:eastAsia="Times New Roman" w:hAnsi="Times New Roman" w:cs="Times New Roman"/>
          <w:sz w:val="24"/>
          <w:szCs w:val="24"/>
          <w:vertAlign w:val="superscript"/>
          <w:lang w:eastAsia="es-AR"/>
        </w:rPr>
        <w:t>1,8</w:t>
      </w:r>
    </w:p>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La administración de hipérico está contraindicada en:</w:t>
      </w:r>
    </w:p>
    <w:p w:rsidR="00093D76" w:rsidRPr="00093D76" w:rsidRDefault="00093D76" w:rsidP="00093D76">
      <w:pPr>
        <w:spacing w:line="240" w:lineRule="auto"/>
        <w:ind w:left="2265" w:hanging="36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Pacientes con infección por el virus de la inmunodeficiencia humana (VIH o SIDA)</w:t>
      </w:r>
    </w:p>
    <w:p w:rsidR="00093D76" w:rsidRPr="00093D76" w:rsidRDefault="00093D76" w:rsidP="00093D76">
      <w:pPr>
        <w:spacing w:line="240" w:lineRule="auto"/>
        <w:ind w:left="2265" w:hanging="36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Pacientes bajo tratamiento con antidepresivos del tipo IMAO</w:t>
      </w:r>
    </w:p>
    <w:p w:rsidR="00093D76" w:rsidRPr="00093D76" w:rsidRDefault="00093D76" w:rsidP="00093D76">
      <w:pPr>
        <w:spacing w:line="240" w:lineRule="auto"/>
        <w:ind w:left="2265" w:hanging="36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 xml:space="preserve">Pacientes que reciben </w:t>
      </w:r>
      <w:proofErr w:type="spellStart"/>
      <w:r w:rsidRPr="00093D76">
        <w:rPr>
          <w:rFonts w:ascii="Times New Roman" w:eastAsia="Times New Roman" w:hAnsi="Times New Roman" w:cs="Times New Roman"/>
          <w:sz w:val="24"/>
          <w:szCs w:val="24"/>
          <w:lang w:eastAsia="es-AR"/>
        </w:rPr>
        <w:t>psoralenos</w:t>
      </w:r>
      <w:proofErr w:type="spellEnd"/>
      <w:r w:rsidRPr="00093D76">
        <w:rPr>
          <w:rFonts w:ascii="Times New Roman" w:eastAsia="Times New Roman" w:hAnsi="Times New Roman" w:cs="Times New Roman"/>
          <w:sz w:val="24"/>
          <w:szCs w:val="24"/>
          <w:lang w:eastAsia="es-AR"/>
        </w:rPr>
        <w:t xml:space="preserve"> o </w:t>
      </w:r>
      <w:proofErr w:type="spellStart"/>
      <w:r w:rsidRPr="00093D76">
        <w:rPr>
          <w:rFonts w:ascii="Times New Roman" w:eastAsia="Times New Roman" w:hAnsi="Times New Roman" w:cs="Times New Roman"/>
          <w:sz w:val="24"/>
          <w:szCs w:val="24"/>
          <w:lang w:eastAsia="es-AR"/>
        </w:rPr>
        <w:t>retinoides</w:t>
      </w:r>
      <w:proofErr w:type="spellEnd"/>
    </w:p>
    <w:p w:rsidR="00093D76" w:rsidRPr="00093D76" w:rsidRDefault="00093D76" w:rsidP="00093D76">
      <w:pPr>
        <w:spacing w:line="240" w:lineRule="auto"/>
        <w:ind w:left="2265" w:hanging="36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Pacientes con ideas suicidas</w:t>
      </w:r>
    </w:p>
    <w:p w:rsidR="00093D76" w:rsidRPr="00093D76" w:rsidRDefault="00093D76" w:rsidP="00093D76">
      <w:pPr>
        <w:spacing w:line="240" w:lineRule="auto"/>
        <w:ind w:left="2265" w:hanging="36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Hipersensibilidad a cualquiera de los componentes del extracto de hipérico</w:t>
      </w:r>
    </w:p>
    <w:p w:rsidR="00093D76" w:rsidRPr="00093D76" w:rsidRDefault="00093D76" w:rsidP="00093D76">
      <w:pPr>
        <w:spacing w:line="240" w:lineRule="auto"/>
        <w:ind w:left="2265" w:hanging="36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Embarazo</w:t>
      </w:r>
    </w:p>
    <w:p w:rsidR="00093D76" w:rsidRPr="00093D76" w:rsidRDefault="00093D76" w:rsidP="00093D76">
      <w:pPr>
        <w:spacing w:line="240" w:lineRule="auto"/>
        <w:ind w:left="2265" w:hanging="36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Lactancia</w:t>
      </w:r>
    </w:p>
    <w:p w:rsidR="00093D76" w:rsidRPr="00093D76" w:rsidRDefault="00093D76" w:rsidP="00093D76">
      <w:pPr>
        <w:spacing w:line="240" w:lineRule="auto"/>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lastRenderedPageBreak/>
        <w:t>Muchos estudios clínicos han sugerido que el hipérico puede no ser efectivo para el tratamiento de la depresión moderada a severa. El tratamiento con hipérico no se recomienda en estos pacientes.</w:t>
      </w:r>
      <w:r w:rsidRPr="00093D76">
        <w:rPr>
          <w:rFonts w:ascii="Times New Roman" w:eastAsia="Times New Roman" w:hAnsi="Times New Roman" w:cs="Times New Roman"/>
          <w:sz w:val="24"/>
          <w:szCs w:val="24"/>
          <w:vertAlign w:val="superscript"/>
          <w:lang w:eastAsia="es-AR"/>
        </w:rPr>
        <w:t> 1</w:t>
      </w:r>
    </w:p>
    <w:p w:rsidR="00093D76" w:rsidRPr="00093D76" w:rsidRDefault="00093D76" w:rsidP="00093D76">
      <w:pPr>
        <w:spacing w:line="240" w:lineRule="auto"/>
        <w:ind w:firstLine="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eastAsia="es-AR"/>
        </w:rPr>
        <w:t>Precauciones </w:t>
      </w:r>
      <w:r w:rsidRPr="00093D76">
        <w:rPr>
          <w:rFonts w:ascii="Times New Roman" w:eastAsia="Times New Roman" w:hAnsi="Times New Roman" w:cs="Times New Roman"/>
          <w:sz w:val="24"/>
          <w:szCs w:val="24"/>
          <w:vertAlign w:val="superscript"/>
          <w:lang w:eastAsia="es-AR"/>
        </w:rPr>
        <w:t>1, 7, 8</w:t>
      </w:r>
    </w:p>
    <w:p w:rsidR="00093D76" w:rsidRPr="00093D76" w:rsidRDefault="00093D76" w:rsidP="00093D76">
      <w:pPr>
        <w:spacing w:line="240" w:lineRule="auto"/>
        <w:ind w:left="1800" w:hanging="36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La duración del tratamiento debe ser evaluado por el médico.</w:t>
      </w:r>
    </w:p>
    <w:p w:rsidR="00093D76" w:rsidRPr="00093D76" w:rsidRDefault="00093D76" w:rsidP="00093D76">
      <w:pPr>
        <w:spacing w:line="240" w:lineRule="auto"/>
        <w:ind w:left="1800" w:hanging="36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Se deberá prestar particular atención a los pacientes que reciban otros medicamentos concomitantemente con hipérico.</w:t>
      </w:r>
    </w:p>
    <w:p w:rsidR="00093D76" w:rsidRPr="00093D76" w:rsidRDefault="00093D76" w:rsidP="00093D76">
      <w:pPr>
        <w:spacing w:line="240" w:lineRule="auto"/>
        <w:ind w:left="1800" w:hanging="36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No se aconseja la exposición solar de los pacientes mientras reciben hipérico. Si la misma no pudiera evitarse, se sugiere el uso de pantalla solar (factor de protección 60).</w:t>
      </w:r>
    </w:p>
    <w:p w:rsidR="00093D76" w:rsidRPr="00093D76" w:rsidRDefault="00093D76" w:rsidP="00093D76">
      <w:pPr>
        <w:spacing w:line="240" w:lineRule="auto"/>
        <w:ind w:left="1800" w:hanging="36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El hipérico es un inductor enzimático, por lo cual no se aconseja la suspensión brusca del mismo.</w:t>
      </w:r>
    </w:p>
    <w:p w:rsidR="00093D76" w:rsidRPr="00093D76" w:rsidRDefault="00093D76" w:rsidP="00093D76">
      <w:pPr>
        <w:spacing w:line="240" w:lineRule="auto"/>
        <w:ind w:left="1800" w:hanging="36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 xml:space="preserve">Los niveles plasmáticos alcanzados por la medicación concomitante, específicamente </w:t>
      </w:r>
      <w:proofErr w:type="spellStart"/>
      <w:r w:rsidRPr="00093D76">
        <w:rPr>
          <w:rFonts w:ascii="Times New Roman" w:eastAsia="Times New Roman" w:hAnsi="Times New Roman" w:cs="Times New Roman"/>
          <w:sz w:val="24"/>
          <w:szCs w:val="24"/>
          <w:lang w:eastAsia="es-AR"/>
        </w:rPr>
        <w:t>warfarina</w:t>
      </w:r>
      <w:proofErr w:type="spellEnd"/>
      <w:r w:rsidRPr="00093D76">
        <w:rPr>
          <w:rFonts w:ascii="Times New Roman" w:eastAsia="Times New Roman" w:hAnsi="Times New Roman" w:cs="Times New Roman"/>
          <w:sz w:val="24"/>
          <w:szCs w:val="24"/>
          <w:lang w:eastAsia="es-AR"/>
        </w:rPr>
        <w:t xml:space="preserve"> y anticonvulsivantes, cuando se ha retirado el hipérico, pueden alcanzar niveles tóxicos.</w:t>
      </w:r>
    </w:p>
    <w:p w:rsidR="00093D76" w:rsidRPr="00093D76" w:rsidRDefault="00093D76" w:rsidP="00093D76">
      <w:pPr>
        <w:spacing w:line="240" w:lineRule="auto"/>
        <w:ind w:firstLine="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eastAsia="es-AR"/>
        </w:rPr>
        <w:t>Advertencias</w:t>
      </w:r>
      <w:r w:rsidRPr="00093D76">
        <w:rPr>
          <w:rFonts w:ascii="Times New Roman" w:eastAsia="Times New Roman" w:hAnsi="Times New Roman" w:cs="Times New Roman"/>
          <w:sz w:val="24"/>
          <w:szCs w:val="24"/>
          <w:lang w:eastAsia="es-AR"/>
        </w:rPr>
        <w:t> </w:t>
      </w:r>
      <w:r w:rsidRPr="00093D76">
        <w:rPr>
          <w:rFonts w:ascii="Times New Roman" w:eastAsia="Times New Roman" w:hAnsi="Times New Roman" w:cs="Times New Roman"/>
          <w:sz w:val="24"/>
          <w:szCs w:val="24"/>
          <w:vertAlign w:val="superscript"/>
          <w:lang w:eastAsia="es-AR"/>
        </w:rPr>
        <w:t>8</w:t>
      </w:r>
    </w:p>
    <w:p w:rsidR="00093D76" w:rsidRPr="00093D76" w:rsidRDefault="00093D76" w:rsidP="00093D76">
      <w:pPr>
        <w:spacing w:line="240" w:lineRule="auto"/>
        <w:ind w:left="2160" w:hanging="36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No se aconseja la utilización de hipérico en pacientes con antecedentes de cáncer de piel o queratosis solares.</w:t>
      </w:r>
    </w:p>
    <w:p w:rsidR="00093D76" w:rsidRPr="00093D76" w:rsidRDefault="00093D76" w:rsidP="00093D76">
      <w:pPr>
        <w:spacing w:line="240" w:lineRule="auto"/>
        <w:ind w:left="2160" w:hanging="36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No existen datos suficientes que permitan avalar la utilización en niños por lo que se desaconseja su uso.</w:t>
      </w:r>
    </w:p>
    <w:p w:rsidR="00093D76" w:rsidRPr="00093D76" w:rsidRDefault="00093D76" w:rsidP="00093D76">
      <w:pPr>
        <w:spacing w:line="240" w:lineRule="auto"/>
        <w:ind w:left="2160" w:hanging="36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 xml:space="preserve">Si un paciente se encuentra recibiendo un inhibidor de la MAO (IMAO), como la </w:t>
      </w:r>
      <w:proofErr w:type="spellStart"/>
      <w:r w:rsidRPr="00093D76">
        <w:rPr>
          <w:rFonts w:ascii="Times New Roman" w:eastAsia="Times New Roman" w:hAnsi="Times New Roman" w:cs="Times New Roman"/>
          <w:sz w:val="24"/>
          <w:szCs w:val="24"/>
          <w:lang w:eastAsia="es-AR"/>
        </w:rPr>
        <w:t>tranilcipromina</w:t>
      </w:r>
      <w:proofErr w:type="spellEnd"/>
      <w:r w:rsidRPr="00093D76">
        <w:rPr>
          <w:rFonts w:ascii="Times New Roman" w:eastAsia="Times New Roman" w:hAnsi="Times New Roman" w:cs="Times New Roman"/>
          <w:sz w:val="24"/>
          <w:szCs w:val="24"/>
          <w:lang w:eastAsia="es-AR"/>
        </w:rPr>
        <w:t>, y se decidiera comenzar a administrar extracto de hipérico, debe esperarse un período de dos semanas desde la discontinuación del tratamiento con el IMAO y el inicio de la terapia con hipérico.</w:t>
      </w:r>
    </w:p>
    <w:p w:rsidR="00093D76" w:rsidRPr="00093D76" w:rsidRDefault="00093D76" w:rsidP="00093D76">
      <w:pPr>
        <w:spacing w:line="240" w:lineRule="auto"/>
        <w:ind w:left="2160" w:hanging="36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Del mismo modo debe procederse cuando el paciente recibe extracto de hipérico y se decide cambiar el tratamiento a un IMAO.</w:t>
      </w:r>
    </w:p>
    <w:p w:rsidR="00093D76" w:rsidRPr="00093D76" w:rsidRDefault="00093D76" w:rsidP="00093D76">
      <w:pPr>
        <w:spacing w:line="240" w:lineRule="auto"/>
        <w:ind w:left="2160" w:hanging="36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Se desaconseja su utilización conjunta con inhibidores selectivos de la receptación de serotonina.</w:t>
      </w:r>
    </w:p>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proofErr w:type="spellStart"/>
      <w:r w:rsidRPr="00093D76">
        <w:rPr>
          <w:rFonts w:ascii="Times New Roman" w:eastAsia="Times New Roman" w:hAnsi="Times New Roman" w:cs="Times New Roman"/>
          <w:b/>
          <w:bCs/>
          <w:sz w:val="24"/>
          <w:szCs w:val="24"/>
          <w:lang w:val="en-GB" w:eastAsia="es-AR"/>
        </w:rPr>
        <w:t>Efectos</w:t>
      </w:r>
      <w:proofErr w:type="spellEnd"/>
      <w:r w:rsidRPr="00093D76">
        <w:rPr>
          <w:rFonts w:ascii="Times New Roman" w:eastAsia="Times New Roman" w:hAnsi="Times New Roman" w:cs="Times New Roman"/>
          <w:b/>
          <w:bCs/>
          <w:sz w:val="24"/>
          <w:szCs w:val="24"/>
          <w:lang w:val="en-GB" w:eastAsia="es-AR"/>
        </w:rPr>
        <w:t xml:space="preserve"> </w:t>
      </w:r>
      <w:proofErr w:type="spellStart"/>
      <w:r w:rsidRPr="00093D76">
        <w:rPr>
          <w:rFonts w:ascii="Times New Roman" w:eastAsia="Times New Roman" w:hAnsi="Times New Roman" w:cs="Times New Roman"/>
          <w:b/>
          <w:bCs/>
          <w:sz w:val="24"/>
          <w:szCs w:val="24"/>
          <w:lang w:val="en-GB" w:eastAsia="es-AR"/>
        </w:rPr>
        <w:t>adversos</w:t>
      </w:r>
      <w:proofErr w:type="spellEnd"/>
      <w:r w:rsidRPr="00093D76">
        <w:rPr>
          <w:rFonts w:ascii="Times New Roman" w:eastAsia="Times New Roman" w:hAnsi="Times New Roman" w:cs="Times New Roman"/>
          <w:b/>
          <w:bCs/>
          <w:sz w:val="24"/>
          <w:szCs w:val="24"/>
          <w:lang w:val="en-GB" w:eastAsia="es-AR"/>
        </w:rPr>
        <w:t> </w:t>
      </w:r>
      <w:r w:rsidRPr="00093D76">
        <w:rPr>
          <w:rFonts w:ascii="Times New Roman" w:eastAsia="Times New Roman" w:hAnsi="Times New Roman" w:cs="Times New Roman"/>
          <w:sz w:val="24"/>
          <w:szCs w:val="24"/>
          <w:vertAlign w:val="superscript"/>
          <w:lang w:val="en-GB" w:eastAsia="es-AR"/>
        </w:rPr>
        <w:t>1, 8</w:t>
      </w:r>
    </w:p>
    <w:p w:rsidR="00093D76" w:rsidRPr="00093D76" w:rsidRDefault="00093D76" w:rsidP="00093D76">
      <w:pPr>
        <w:spacing w:line="240" w:lineRule="auto"/>
        <w:ind w:left="1800" w:hanging="36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Agitación</w:t>
      </w:r>
    </w:p>
    <w:p w:rsidR="00093D76" w:rsidRPr="00093D76" w:rsidRDefault="00093D76" w:rsidP="00093D76">
      <w:pPr>
        <w:spacing w:line="240" w:lineRule="auto"/>
        <w:ind w:left="1800" w:hanging="36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Ansiedad</w:t>
      </w:r>
    </w:p>
    <w:p w:rsidR="00093D76" w:rsidRPr="00093D76" w:rsidRDefault="00093D76" w:rsidP="00093D76">
      <w:pPr>
        <w:spacing w:line="240" w:lineRule="auto"/>
        <w:ind w:left="1800" w:hanging="36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Aumento de la frecuencia urinaria</w:t>
      </w:r>
    </w:p>
    <w:p w:rsidR="00093D76" w:rsidRPr="00093D76" w:rsidRDefault="00093D76" w:rsidP="00093D76">
      <w:pPr>
        <w:spacing w:line="240" w:lineRule="auto"/>
        <w:ind w:left="1800" w:hanging="36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lastRenderedPageBreak/>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Confusión</w:t>
      </w:r>
    </w:p>
    <w:p w:rsidR="00093D76" w:rsidRPr="00093D76" w:rsidRDefault="00093D76" w:rsidP="00093D76">
      <w:pPr>
        <w:spacing w:line="240" w:lineRule="auto"/>
        <w:ind w:left="1800" w:hanging="36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Constipación</w:t>
      </w:r>
    </w:p>
    <w:p w:rsidR="00093D76" w:rsidRPr="00093D76" w:rsidRDefault="00093D76" w:rsidP="00093D76">
      <w:pPr>
        <w:spacing w:line="240" w:lineRule="auto"/>
        <w:ind w:left="1800" w:hanging="36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Decaimiento</w:t>
      </w:r>
    </w:p>
    <w:p w:rsidR="00093D76" w:rsidRPr="00093D76" w:rsidRDefault="00093D76" w:rsidP="00093D76">
      <w:pPr>
        <w:spacing w:line="240" w:lineRule="auto"/>
        <w:ind w:left="1800" w:hanging="36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Diarrea</w:t>
      </w:r>
    </w:p>
    <w:p w:rsidR="00093D76" w:rsidRPr="00093D76" w:rsidRDefault="00093D76" w:rsidP="00093D76">
      <w:pPr>
        <w:spacing w:line="240" w:lineRule="auto"/>
        <w:ind w:left="1800" w:hanging="36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Disfunción eyaculatoria</w:t>
      </w:r>
    </w:p>
    <w:p w:rsidR="00093D76" w:rsidRPr="00093D76" w:rsidRDefault="00093D76" w:rsidP="00093D76">
      <w:pPr>
        <w:spacing w:line="240" w:lineRule="auto"/>
        <w:ind w:left="1800" w:hanging="36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Disfunción orgásmica</w:t>
      </w:r>
    </w:p>
    <w:p w:rsidR="00093D76" w:rsidRPr="00093D76" w:rsidRDefault="00093D76" w:rsidP="00093D76">
      <w:pPr>
        <w:spacing w:line="240" w:lineRule="auto"/>
        <w:ind w:left="1800" w:hanging="36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Dispepsia</w:t>
      </w:r>
    </w:p>
    <w:p w:rsidR="00093D76" w:rsidRPr="00093D76" w:rsidRDefault="00093D76" w:rsidP="00093D76">
      <w:pPr>
        <w:spacing w:line="240" w:lineRule="auto"/>
        <w:ind w:left="1800" w:hanging="36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Dolor abdominal</w:t>
      </w:r>
    </w:p>
    <w:p w:rsidR="00093D76" w:rsidRPr="00093D76" w:rsidRDefault="00093D76" w:rsidP="00093D76">
      <w:pPr>
        <w:spacing w:line="240" w:lineRule="auto"/>
        <w:ind w:left="1800" w:hanging="36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Dolor de cabeza</w:t>
      </w:r>
    </w:p>
    <w:p w:rsidR="00093D76" w:rsidRPr="00093D76" w:rsidRDefault="00093D76" w:rsidP="00093D76">
      <w:pPr>
        <w:spacing w:line="240" w:lineRule="auto"/>
        <w:ind w:left="1800" w:hanging="36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proofErr w:type="spellStart"/>
      <w:r w:rsidRPr="00093D76">
        <w:rPr>
          <w:rFonts w:ascii="Times New Roman" w:eastAsia="Times New Roman" w:hAnsi="Times New Roman" w:cs="Times New Roman"/>
          <w:sz w:val="24"/>
          <w:szCs w:val="24"/>
          <w:lang w:eastAsia="es-AR"/>
        </w:rPr>
        <w:t>Fotosensibilidad</w:t>
      </w:r>
      <w:proofErr w:type="spellEnd"/>
    </w:p>
    <w:p w:rsidR="00093D76" w:rsidRPr="00093D76" w:rsidRDefault="00093D76" w:rsidP="00093D76">
      <w:pPr>
        <w:spacing w:line="240" w:lineRule="auto"/>
        <w:ind w:left="1800" w:hanging="36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Impotencia</w:t>
      </w:r>
    </w:p>
    <w:p w:rsidR="00093D76" w:rsidRPr="00093D76" w:rsidRDefault="00093D76" w:rsidP="00093D76">
      <w:pPr>
        <w:spacing w:line="240" w:lineRule="auto"/>
        <w:ind w:left="1800" w:hanging="36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Infertilidad</w:t>
      </w:r>
    </w:p>
    <w:p w:rsidR="00093D76" w:rsidRPr="00093D76" w:rsidRDefault="00093D76" w:rsidP="00093D76">
      <w:pPr>
        <w:spacing w:line="240" w:lineRule="auto"/>
        <w:ind w:left="1800" w:hanging="36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Insomnio</w:t>
      </w:r>
    </w:p>
    <w:p w:rsidR="00093D76" w:rsidRPr="00093D76" w:rsidRDefault="00093D76" w:rsidP="00093D76">
      <w:pPr>
        <w:spacing w:line="240" w:lineRule="auto"/>
        <w:ind w:left="1800" w:hanging="36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Letargia</w:t>
      </w:r>
    </w:p>
    <w:p w:rsidR="00093D76" w:rsidRPr="00093D76" w:rsidRDefault="00093D76" w:rsidP="00093D76">
      <w:pPr>
        <w:spacing w:line="240" w:lineRule="auto"/>
        <w:ind w:left="1800" w:hanging="36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Manía</w:t>
      </w:r>
    </w:p>
    <w:p w:rsidR="00093D76" w:rsidRPr="00093D76" w:rsidRDefault="00093D76" w:rsidP="00093D76">
      <w:pPr>
        <w:spacing w:line="240" w:lineRule="auto"/>
        <w:ind w:left="1800" w:hanging="36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Mareos</w:t>
      </w:r>
    </w:p>
    <w:p w:rsidR="00093D76" w:rsidRPr="00093D76" w:rsidRDefault="00093D76" w:rsidP="00093D76">
      <w:pPr>
        <w:spacing w:line="240" w:lineRule="auto"/>
        <w:ind w:left="1800" w:hanging="36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Náuseas</w:t>
      </w:r>
    </w:p>
    <w:p w:rsidR="00093D76" w:rsidRPr="00093D76" w:rsidRDefault="00093D76" w:rsidP="00093D76">
      <w:pPr>
        <w:spacing w:line="240" w:lineRule="auto"/>
        <w:ind w:left="1800" w:hanging="36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Neuropatía periférica</w:t>
      </w:r>
    </w:p>
    <w:p w:rsidR="00093D76" w:rsidRPr="00093D76" w:rsidRDefault="00093D76" w:rsidP="00093D76">
      <w:pPr>
        <w:spacing w:line="240" w:lineRule="auto"/>
        <w:ind w:left="1800" w:hanging="36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Sedación</w:t>
      </w:r>
    </w:p>
    <w:p w:rsidR="00093D76" w:rsidRPr="00093D76" w:rsidRDefault="00093D76" w:rsidP="00093D76">
      <w:pPr>
        <w:spacing w:line="240" w:lineRule="auto"/>
        <w:ind w:left="1800" w:hanging="36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Sequedad de boca</w:t>
      </w:r>
    </w:p>
    <w:p w:rsidR="00093D76" w:rsidRPr="00093D76" w:rsidRDefault="00093D76" w:rsidP="00093D76">
      <w:pPr>
        <w:spacing w:line="240" w:lineRule="auto"/>
        <w:ind w:left="1800" w:hanging="36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Somnolencia</w:t>
      </w:r>
    </w:p>
    <w:p w:rsidR="00093D76" w:rsidRPr="00093D76" w:rsidRDefault="00093D76" w:rsidP="00093D76">
      <w:pPr>
        <w:spacing w:line="240" w:lineRule="auto"/>
        <w:ind w:left="1800" w:hanging="360"/>
        <w:jc w:val="left"/>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sz w:val="14"/>
          <w:szCs w:val="14"/>
          <w:lang w:eastAsia="es-AR"/>
        </w:rPr>
        <w:t>         </w:t>
      </w:r>
      <w:r w:rsidRPr="00093D76">
        <w:rPr>
          <w:rFonts w:ascii="Times New Roman" w:eastAsia="Times New Roman" w:hAnsi="Times New Roman" w:cs="Times New Roman"/>
          <w:sz w:val="24"/>
          <w:szCs w:val="24"/>
          <w:lang w:eastAsia="es-AR"/>
        </w:rPr>
        <w:t>Vómitos</w:t>
      </w:r>
    </w:p>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eastAsia="es-AR"/>
        </w:rPr>
        <w:t>Indicaciones </w:t>
      </w:r>
      <w:r w:rsidRPr="00093D76">
        <w:rPr>
          <w:rFonts w:ascii="Times New Roman" w:eastAsia="Times New Roman" w:hAnsi="Times New Roman" w:cs="Times New Roman"/>
          <w:sz w:val="24"/>
          <w:szCs w:val="24"/>
          <w:vertAlign w:val="superscript"/>
          <w:lang w:eastAsia="es-AR"/>
        </w:rPr>
        <w:t>2</w:t>
      </w:r>
    </w:p>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 xml:space="preserve">La monografía publicada por la Comisión E del Instituto Federal de Medicamentos y Dispositivos médicos de Alemania, indica que las preparaciones de hipérico tienen como aplicaciones: perturbaciones </w:t>
      </w:r>
      <w:proofErr w:type="spellStart"/>
      <w:r w:rsidRPr="00093D76">
        <w:rPr>
          <w:rFonts w:ascii="Times New Roman" w:eastAsia="Times New Roman" w:hAnsi="Times New Roman" w:cs="Times New Roman"/>
          <w:sz w:val="24"/>
          <w:szCs w:val="24"/>
          <w:lang w:eastAsia="es-AR"/>
        </w:rPr>
        <w:t>psico</w:t>
      </w:r>
      <w:proofErr w:type="spellEnd"/>
      <w:r w:rsidRPr="00093D76">
        <w:rPr>
          <w:rFonts w:ascii="Times New Roman" w:eastAsia="Times New Roman" w:hAnsi="Times New Roman" w:cs="Times New Roman"/>
          <w:sz w:val="24"/>
          <w:szCs w:val="24"/>
          <w:lang w:eastAsia="es-AR"/>
        </w:rPr>
        <w:t>-somáticas, desórdenes depresivos moderados y suaves, ansiedad y fatiga nerviosa.</w:t>
      </w:r>
      <w:r w:rsidRPr="00093D76">
        <w:rPr>
          <w:rFonts w:ascii="Times New Roman" w:eastAsia="Times New Roman" w:hAnsi="Times New Roman" w:cs="Times New Roman"/>
          <w:sz w:val="24"/>
          <w:szCs w:val="24"/>
          <w:lang w:eastAsia="es-AR"/>
        </w:rPr>
        <w:br/>
      </w:r>
      <w:r w:rsidRPr="00093D76">
        <w:rPr>
          <w:rFonts w:ascii="Times New Roman" w:eastAsia="Times New Roman" w:hAnsi="Times New Roman" w:cs="Times New Roman"/>
          <w:sz w:val="24"/>
          <w:szCs w:val="24"/>
          <w:lang w:eastAsia="es-AR"/>
        </w:rPr>
        <w:lastRenderedPageBreak/>
        <w:t>La monografía de ESCOP (</w:t>
      </w:r>
      <w:proofErr w:type="spellStart"/>
      <w:r w:rsidRPr="00093D76">
        <w:rPr>
          <w:rFonts w:ascii="Times New Roman" w:eastAsia="Times New Roman" w:hAnsi="Times New Roman" w:cs="Times New Roman"/>
          <w:sz w:val="24"/>
          <w:szCs w:val="24"/>
          <w:lang w:eastAsia="es-AR"/>
        </w:rPr>
        <w:t>The</w:t>
      </w:r>
      <w:proofErr w:type="spellEnd"/>
      <w:r w:rsidRPr="00093D76">
        <w:rPr>
          <w:rFonts w:ascii="Times New Roman" w:eastAsia="Times New Roman" w:hAnsi="Times New Roman" w:cs="Times New Roman"/>
          <w:sz w:val="24"/>
          <w:szCs w:val="24"/>
          <w:lang w:eastAsia="es-AR"/>
        </w:rPr>
        <w:t xml:space="preserve"> </w:t>
      </w:r>
      <w:proofErr w:type="spellStart"/>
      <w:r w:rsidRPr="00093D76">
        <w:rPr>
          <w:rFonts w:ascii="Times New Roman" w:eastAsia="Times New Roman" w:hAnsi="Times New Roman" w:cs="Times New Roman"/>
          <w:sz w:val="24"/>
          <w:szCs w:val="24"/>
          <w:lang w:eastAsia="es-AR"/>
        </w:rPr>
        <w:t>European</w:t>
      </w:r>
      <w:proofErr w:type="spellEnd"/>
      <w:r w:rsidRPr="00093D76">
        <w:rPr>
          <w:rFonts w:ascii="Times New Roman" w:eastAsia="Times New Roman" w:hAnsi="Times New Roman" w:cs="Times New Roman"/>
          <w:sz w:val="24"/>
          <w:szCs w:val="24"/>
          <w:lang w:eastAsia="es-AR"/>
        </w:rPr>
        <w:t xml:space="preserve"> </w:t>
      </w:r>
      <w:proofErr w:type="spellStart"/>
      <w:r w:rsidRPr="00093D76">
        <w:rPr>
          <w:rFonts w:ascii="Times New Roman" w:eastAsia="Times New Roman" w:hAnsi="Times New Roman" w:cs="Times New Roman"/>
          <w:sz w:val="24"/>
          <w:szCs w:val="24"/>
          <w:lang w:eastAsia="es-AR"/>
        </w:rPr>
        <w:t>Scientific</w:t>
      </w:r>
      <w:proofErr w:type="spellEnd"/>
      <w:r w:rsidRPr="00093D76">
        <w:rPr>
          <w:rFonts w:ascii="Times New Roman" w:eastAsia="Times New Roman" w:hAnsi="Times New Roman" w:cs="Times New Roman"/>
          <w:sz w:val="24"/>
          <w:szCs w:val="24"/>
          <w:lang w:eastAsia="es-AR"/>
        </w:rPr>
        <w:t xml:space="preserve"> </w:t>
      </w:r>
      <w:proofErr w:type="spellStart"/>
      <w:r w:rsidRPr="00093D76">
        <w:rPr>
          <w:rFonts w:ascii="Times New Roman" w:eastAsia="Times New Roman" w:hAnsi="Times New Roman" w:cs="Times New Roman"/>
          <w:sz w:val="24"/>
          <w:szCs w:val="24"/>
          <w:lang w:eastAsia="es-AR"/>
        </w:rPr>
        <w:t>Cooperative</w:t>
      </w:r>
      <w:proofErr w:type="spellEnd"/>
      <w:r w:rsidRPr="00093D76">
        <w:rPr>
          <w:rFonts w:ascii="Times New Roman" w:eastAsia="Times New Roman" w:hAnsi="Times New Roman" w:cs="Times New Roman"/>
          <w:sz w:val="24"/>
          <w:szCs w:val="24"/>
          <w:lang w:eastAsia="es-AR"/>
        </w:rPr>
        <w:t xml:space="preserve"> </w:t>
      </w:r>
      <w:proofErr w:type="spellStart"/>
      <w:r w:rsidRPr="00093D76">
        <w:rPr>
          <w:rFonts w:ascii="Times New Roman" w:eastAsia="Times New Roman" w:hAnsi="Times New Roman" w:cs="Times New Roman"/>
          <w:sz w:val="24"/>
          <w:szCs w:val="24"/>
          <w:lang w:eastAsia="es-AR"/>
        </w:rPr>
        <w:t>on</w:t>
      </w:r>
      <w:proofErr w:type="spellEnd"/>
      <w:r w:rsidRPr="00093D76">
        <w:rPr>
          <w:rFonts w:ascii="Times New Roman" w:eastAsia="Times New Roman" w:hAnsi="Times New Roman" w:cs="Times New Roman"/>
          <w:sz w:val="24"/>
          <w:szCs w:val="24"/>
          <w:lang w:eastAsia="es-AR"/>
        </w:rPr>
        <w:t xml:space="preserve"> </w:t>
      </w:r>
      <w:proofErr w:type="spellStart"/>
      <w:r w:rsidRPr="00093D76">
        <w:rPr>
          <w:rFonts w:ascii="Times New Roman" w:eastAsia="Times New Roman" w:hAnsi="Times New Roman" w:cs="Times New Roman"/>
          <w:sz w:val="24"/>
          <w:szCs w:val="24"/>
          <w:lang w:eastAsia="es-AR"/>
        </w:rPr>
        <w:t>Phytotherapy</w:t>
      </w:r>
      <w:proofErr w:type="spellEnd"/>
      <w:r w:rsidRPr="00093D76">
        <w:rPr>
          <w:rFonts w:ascii="Times New Roman" w:eastAsia="Times New Roman" w:hAnsi="Times New Roman" w:cs="Times New Roman"/>
          <w:sz w:val="24"/>
          <w:szCs w:val="24"/>
          <w:lang w:eastAsia="es-AR"/>
        </w:rPr>
        <w:t>) recoge las siguientes indicaciones: estados depresivos leves o moderados, trastornos psicosomáticos como insomnio, ansiedad e irritabilidad.</w:t>
      </w:r>
    </w:p>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eastAsia="es-AR"/>
        </w:rPr>
        <w:t>Posología y forma de administración </w:t>
      </w:r>
      <w:r w:rsidRPr="00093D76">
        <w:rPr>
          <w:rFonts w:ascii="Times New Roman" w:eastAsia="Times New Roman" w:hAnsi="Times New Roman" w:cs="Times New Roman"/>
          <w:sz w:val="24"/>
          <w:szCs w:val="24"/>
          <w:vertAlign w:val="superscript"/>
          <w:lang w:eastAsia="es-AR"/>
        </w:rPr>
        <w:t>8</w:t>
      </w:r>
    </w:p>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eastAsia="es-AR"/>
        </w:rPr>
        <w:t>Acorde a cada preparado.</w:t>
      </w:r>
    </w:p>
    <w:p w:rsidR="00093D76" w:rsidRPr="00093D76" w:rsidRDefault="00093D76" w:rsidP="00093D76">
      <w:pPr>
        <w:spacing w:line="240" w:lineRule="auto"/>
        <w:ind w:firstLine="0"/>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eastAsia="es-AR"/>
        </w:rPr>
        <w:t>Bibliografía</w:t>
      </w:r>
    </w:p>
    <w:p w:rsidR="00093D76" w:rsidRPr="00093D76" w:rsidRDefault="00093D76" w:rsidP="00093D76">
      <w:pPr>
        <w:numPr>
          <w:ilvl w:val="0"/>
          <w:numId w:val="1"/>
        </w:numPr>
        <w:spacing w:before="0" w:beforeAutospacing="0" w:after="0" w:afterAutospacing="0" w:line="240" w:lineRule="auto"/>
        <w:ind w:left="2160"/>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val="en-GB" w:eastAsia="es-AR"/>
        </w:rPr>
        <w:t>Clinical Pharmacology </w:t>
      </w:r>
      <w:r w:rsidRPr="00093D76">
        <w:rPr>
          <w:rFonts w:ascii="Times New Roman" w:eastAsia="Times New Roman" w:hAnsi="Times New Roman" w:cs="Times New Roman"/>
          <w:sz w:val="24"/>
          <w:szCs w:val="24"/>
          <w:lang w:val="en-GB" w:eastAsia="es-AR"/>
        </w:rPr>
        <w:t>[monograph on CD. ROM] Gold Standard Multimedia</w:t>
      </w:r>
      <w:r w:rsidRPr="00093D76">
        <w:rPr>
          <w:rFonts w:ascii="Times New Roman" w:eastAsia="Times New Roman" w:hAnsi="Times New Roman" w:cs="Times New Roman"/>
          <w:b/>
          <w:bCs/>
          <w:sz w:val="24"/>
          <w:szCs w:val="24"/>
          <w:lang w:val="en-GB" w:eastAsia="es-AR"/>
        </w:rPr>
        <w:t>. </w:t>
      </w:r>
      <w:r w:rsidRPr="00093D76">
        <w:rPr>
          <w:rFonts w:ascii="Times New Roman" w:eastAsia="Times New Roman" w:hAnsi="Times New Roman" w:cs="Times New Roman"/>
          <w:sz w:val="24"/>
          <w:szCs w:val="24"/>
          <w:lang w:val="en-GB" w:eastAsia="es-AR"/>
        </w:rPr>
        <w:t>CD Version 2.18 EEUU. October 2005</w:t>
      </w:r>
    </w:p>
    <w:p w:rsidR="00093D76" w:rsidRPr="00093D76" w:rsidRDefault="00093D76" w:rsidP="00093D76">
      <w:pPr>
        <w:numPr>
          <w:ilvl w:val="0"/>
          <w:numId w:val="1"/>
        </w:numPr>
        <w:spacing w:before="0" w:beforeAutospacing="0" w:after="0" w:afterAutospacing="0" w:line="240" w:lineRule="auto"/>
        <w:ind w:left="2160"/>
        <w:rPr>
          <w:rFonts w:ascii="Times New Roman" w:eastAsia="Times New Roman" w:hAnsi="Times New Roman" w:cs="Times New Roman"/>
          <w:sz w:val="24"/>
          <w:szCs w:val="24"/>
          <w:lang w:eastAsia="es-AR"/>
        </w:rPr>
      </w:pPr>
      <w:proofErr w:type="spellStart"/>
      <w:r w:rsidRPr="00093D76">
        <w:rPr>
          <w:rFonts w:ascii="Times New Roman" w:eastAsia="Times New Roman" w:hAnsi="Times New Roman" w:cs="Times New Roman"/>
          <w:b/>
          <w:bCs/>
          <w:sz w:val="24"/>
          <w:szCs w:val="24"/>
          <w:lang w:eastAsia="es-AR"/>
        </w:rPr>
        <w:t>Vademecum</w:t>
      </w:r>
      <w:proofErr w:type="spellEnd"/>
      <w:r w:rsidRPr="00093D76">
        <w:rPr>
          <w:rFonts w:ascii="Times New Roman" w:eastAsia="Times New Roman" w:hAnsi="Times New Roman" w:cs="Times New Roman"/>
          <w:b/>
          <w:bCs/>
          <w:sz w:val="24"/>
          <w:szCs w:val="24"/>
          <w:lang w:eastAsia="es-AR"/>
        </w:rPr>
        <w:t xml:space="preserve"> de Prescripción de Plantas Medicinales y Fórmulas Magistrales</w:t>
      </w:r>
      <w:r w:rsidRPr="00093D76">
        <w:rPr>
          <w:rFonts w:ascii="Times New Roman" w:eastAsia="Times New Roman" w:hAnsi="Times New Roman" w:cs="Times New Roman"/>
          <w:sz w:val="24"/>
          <w:szCs w:val="24"/>
          <w:lang w:eastAsia="es-AR"/>
        </w:rPr>
        <w:t xml:space="preserve"> [en línea] Barcelona. Última Actualización: Acceso:  Disponible </w:t>
      </w:r>
      <w:proofErr w:type="spellStart"/>
      <w:r w:rsidRPr="00093D76">
        <w:rPr>
          <w:rFonts w:ascii="Times New Roman" w:eastAsia="Times New Roman" w:hAnsi="Times New Roman" w:cs="Times New Roman"/>
          <w:sz w:val="24"/>
          <w:szCs w:val="24"/>
          <w:lang w:eastAsia="es-AR"/>
        </w:rPr>
        <w:t>en:</w:t>
      </w:r>
      <w:hyperlink r:id="rId6" w:history="1">
        <w:r w:rsidRPr="00093D76">
          <w:rPr>
            <w:rFonts w:ascii="Times New Roman" w:eastAsia="Times New Roman" w:hAnsi="Times New Roman" w:cs="Times New Roman"/>
            <w:color w:val="0000FF"/>
            <w:sz w:val="24"/>
            <w:szCs w:val="24"/>
            <w:u w:val="single"/>
            <w:lang w:eastAsia="es-AR"/>
          </w:rPr>
          <w:t>http</w:t>
        </w:r>
        <w:proofErr w:type="spellEnd"/>
        <w:r w:rsidRPr="00093D76">
          <w:rPr>
            <w:rFonts w:ascii="Times New Roman" w:eastAsia="Times New Roman" w:hAnsi="Times New Roman" w:cs="Times New Roman"/>
            <w:color w:val="0000FF"/>
            <w:sz w:val="24"/>
            <w:szCs w:val="24"/>
            <w:u w:val="single"/>
            <w:lang w:eastAsia="es-AR"/>
          </w:rPr>
          <w:t>://www.fitoterapia.net/</w:t>
        </w:r>
      </w:hyperlink>
    </w:p>
    <w:p w:rsidR="00093D76" w:rsidRPr="00093D76" w:rsidRDefault="00093D76" w:rsidP="00093D76">
      <w:pPr>
        <w:numPr>
          <w:ilvl w:val="0"/>
          <w:numId w:val="1"/>
        </w:numPr>
        <w:spacing w:before="0" w:beforeAutospacing="0" w:after="0" w:afterAutospacing="0" w:line="240" w:lineRule="auto"/>
        <w:ind w:left="2160"/>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eastAsia="es-AR"/>
        </w:rPr>
        <w:t>Revisiones Cochrane</w:t>
      </w:r>
      <w:r w:rsidRPr="00093D76">
        <w:rPr>
          <w:rFonts w:ascii="Times New Roman" w:eastAsia="Times New Roman" w:hAnsi="Times New Roman" w:cs="Times New Roman"/>
          <w:sz w:val="24"/>
          <w:szCs w:val="24"/>
          <w:lang w:eastAsia="es-AR"/>
        </w:rPr>
        <w:t>. Hierba de San Juan para la depresión (on-line) Acceso: 24/11/05. Disponible en: </w:t>
      </w:r>
      <w:hyperlink r:id="rId7" w:history="1">
        <w:r w:rsidRPr="00093D76">
          <w:rPr>
            <w:rFonts w:ascii="Times New Roman" w:eastAsia="Times New Roman" w:hAnsi="Times New Roman" w:cs="Times New Roman"/>
            <w:color w:val="0000FF"/>
            <w:sz w:val="24"/>
            <w:szCs w:val="24"/>
            <w:u w:val="single"/>
            <w:lang w:eastAsia="es-AR"/>
          </w:rPr>
          <w:t>http://www.atheneum.doyma.es/Socios/sala_l/cochrane/coch0027.htm</w:t>
        </w:r>
      </w:hyperlink>
    </w:p>
    <w:p w:rsidR="00093D76" w:rsidRPr="00093D76" w:rsidRDefault="00093D76" w:rsidP="00093D76">
      <w:pPr>
        <w:numPr>
          <w:ilvl w:val="0"/>
          <w:numId w:val="1"/>
        </w:numPr>
        <w:spacing w:before="0" w:beforeAutospacing="0" w:after="0" w:afterAutospacing="0" w:line="240" w:lineRule="auto"/>
        <w:ind w:left="2160"/>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val="en-GB" w:eastAsia="es-AR"/>
        </w:rPr>
        <w:t>TGA. Therapeutic Goods Administration</w:t>
      </w:r>
      <w:r w:rsidRPr="00093D76">
        <w:rPr>
          <w:rFonts w:ascii="Times New Roman" w:eastAsia="Times New Roman" w:hAnsi="Times New Roman" w:cs="Times New Roman"/>
          <w:sz w:val="24"/>
          <w:szCs w:val="24"/>
          <w:lang w:val="en-GB" w:eastAsia="es-AR"/>
        </w:rPr>
        <w:t xml:space="preserve">. Important interactions between St John's </w:t>
      </w:r>
      <w:proofErr w:type="spellStart"/>
      <w:r w:rsidRPr="00093D76">
        <w:rPr>
          <w:rFonts w:ascii="Times New Roman" w:eastAsia="Times New Roman" w:hAnsi="Times New Roman" w:cs="Times New Roman"/>
          <w:sz w:val="24"/>
          <w:szCs w:val="24"/>
          <w:lang w:val="en-GB" w:eastAsia="es-AR"/>
        </w:rPr>
        <w:t>Wort</w:t>
      </w:r>
      <w:proofErr w:type="spellEnd"/>
      <w:r w:rsidRPr="00093D76">
        <w:rPr>
          <w:rFonts w:ascii="Times New Roman" w:eastAsia="Times New Roman" w:hAnsi="Times New Roman" w:cs="Times New Roman"/>
          <w:sz w:val="24"/>
          <w:szCs w:val="24"/>
          <w:lang w:val="en-GB" w:eastAsia="es-AR"/>
        </w:rPr>
        <w:t xml:space="preserve"> (</w:t>
      </w:r>
      <w:proofErr w:type="spellStart"/>
      <w:r w:rsidRPr="00093D76">
        <w:rPr>
          <w:rFonts w:ascii="Times New Roman" w:eastAsia="Times New Roman" w:hAnsi="Times New Roman" w:cs="Times New Roman"/>
          <w:sz w:val="24"/>
          <w:szCs w:val="24"/>
          <w:lang w:val="en-GB" w:eastAsia="es-AR"/>
        </w:rPr>
        <w:t>Hypericum</w:t>
      </w:r>
      <w:proofErr w:type="spellEnd"/>
      <w:r w:rsidRPr="00093D76">
        <w:rPr>
          <w:rFonts w:ascii="Times New Roman" w:eastAsia="Times New Roman" w:hAnsi="Times New Roman" w:cs="Times New Roman"/>
          <w:sz w:val="24"/>
          <w:szCs w:val="24"/>
          <w:lang w:val="en-GB" w:eastAsia="es-AR"/>
        </w:rPr>
        <w:t xml:space="preserve"> </w:t>
      </w:r>
      <w:proofErr w:type="spellStart"/>
      <w:r w:rsidRPr="00093D76">
        <w:rPr>
          <w:rFonts w:ascii="Times New Roman" w:eastAsia="Times New Roman" w:hAnsi="Times New Roman" w:cs="Times New Roman"/>
          <w:sz w:val="24"/>
          <w:szCs w:val="24"/>
          <w:lang w:val="en-GB" w:eastAsia="es-AR"/>
        </w:rPr>
        <w:t>perforatum</w:t>
      </w:r>
      <w:proofErr w:type="spellEnd"/>
      <w:r w:rsidRPr="00093D76">
        <w:rPr>
          <w:rFonts w:ascii="Times New Roman" w:eastAsia="Times New Roman" w:hAnsi="Times New Roman" w:cs="Times New Roman"/>
          <w:sz w:val="24"/>
          <w:szCs w:val="24"/>
          <w:lang w:val="en-GB" w:eastAsia="es-AR"/>
        </w:rPr>
        <w:t>) preparations and prescription medicines. </w:t>
      </w:r>
      <w:r w:rsidRPr="00093D76">
        <w:rPr>
          <w:rFonts w:ascii="Times New Roman" w:eastAsia="Times New Roman" w:hAnsi="Times New Roman" w:cs="Times New Roman"/>
          <w:sz w:val="24"/>
          <w:szCs w:val="24"/>
          <w:lang w:eastAsia="es-AR"/>
        </w:rPr>
        <w:t xml:space="preserve">(on-line). Australia. Fecha de actualización: 13/03/2000.Acceso: 23/11/05. Disponible </w:t>
      </w:r>
      <w:proofErr w:type="spellStart"/>
      <w:r w:rsidRPr="00093D76">
        <w:rPr>
          <w:rFonts w:ascii="Times New Roman" w:eastAsia="Times New Roman" w:hAnsi="Times New Roman" w:cs="Times New Roman"/>
          <w:sz w:val="24"/>
          <w:szCs w:val="24"/>
          <w:lang w:eastAsia="es-AR"/>
        </w:rPr>
        <w:t>en:</w:t>
      </w:r>
      <w:hyperlink r:id="rId8" w:history="1">
        <w:r w:rsidRPr="00093D76">
          <w:rPr>
            <w:rFonts w:ascii="Times New Roman" w:eastAsia="Times New Roman" w:hAnsi="Times New Roman" w:cs="Times New Roman"/>
            <w:color w:val="0000FF"/>
            <w:sz w:val="24"/>
            <w:szCs w:val="24"/>
            <w:u w:val="single"/>
            <w:lang w:eastAsia="es-AR"/>
          </w:rPr>
          <w:t>http</w:t>
        </w:r>
        <w:proofErr w:type="spellEnd"/>
        <w:r w:rsidRPr="00093D76">
          <w:rPr>
            <w:rFonts w:ascii="Times New Roman" w:eastAsia="Times New Roman" w:hAnsi="Times New Roman" w:cs="Times New Roman"/>
            <w:color w:val="0000FF"/>
            <w:sz w:val="24"/>
            <w:szCs w:val="24"/>
            <w:u w:val="single"/>
            <w:lang w:eastAsia="es-AR"/>
          </w:rPr>
          <w:t>://www.tga.gov.au/docs/html/alert.htm</w:t>
        </w:r>
      </w:hyperlink>
    </w:p>
    <w:p w:rsidR="00093D76" w:rsidRPr="00093D76" w:rsidRDefault="00093D76" w:rsidP="00093D76">
      <w:pPr>
        <w:numPr>
          <w:ilvl w:val="0"/>
          <w:numId w:val="1"/>
        </w:numPr>
        <w:spacing w:before="0" w:beforeAutospacing="0" w:after="0" w:afterAutospacing="0" w:line="240" w:lineRule="auto"/>
        <w:ind w:left="2160"/>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val="es-ES_tradnl" w:eastAsia="es-AR"/>
        </w:rPr>
        <w:t>Agencia Española del Medicamento </w:t>
      </w:r>
      <w:r w:rsidRPr="00093D76">
        <w:rPr>
          <w:rFonts w:ascii="Times New Roman" w:eastAsia="Times New Roman" w:hAnsi="Times New Roman" w:cs="Times New Roman"/>
          <w:sz w:val="24"/>
          <w:szCs w:val="24"/>
          <w:lang w:eastAsia="es-AR"/>
        </w:rPr>
        <w:t>[en línea] Madrid. España. Fecha de actualización</w:t>
      </w:r>
      <w:proofErr w:type="gramStart"/>
      <w:r w:rsidRPr="00093D76">
        <w:rPr>
          <w:rFonts w:ascii="Times New Roman" w:eastAsia="Times New Roman" w:hAnsi="Times New Roman" w:cs="Times New Roman"/>
          <w:sz w:val="24"/>
          <w:szCs w:val="24"/>
          <w:lang w:eastAsia="es-AR"/>
        </w:rPr>
        <w:t>:</w:t>
      </w:r>
      <w:r w:rsidRPr="00093D76">
        <w:rPr>
          <w:rFonts w:ascii="Times New Roman" w:eastAsia="Times New Roman" w:hAnsi="Times New Roman" w:cs="Times New Roman"/>
          <w:color w:val="000000"/>
          <w:sz w:val="24"/>
          <w:szCs w:val="24"/>
          <w:lang w:eastAsia="es-AR"/>
        </w:rPr>
        <w:t>21</w:t>
      </w:r>
      <w:proofErr w:type="gramEnd"/>
      <w:r w:rsidRPr="00093D76">
        <w:rPr>
          <w:rFonts w:ascii="Times New Roman" w:eastAsia="Times New Roman" w:hAnsi="Times New Roman" w:cs="Times New Roman"/>
          <w:color w:val="000000"/>
          <w:sz w:val="24"/>
          <w:szCs w:val="24"/>
          <w:lang w:eastAsia="es-AR"/>
        </w:rPr>
        <w:t>/03/2000. </w:t>
      </w:r>
      <w:r w:rsidRPr="00093D76">
        <w:rPr>
          <w:rFonts w:ascii="Times New Roman" w:eastAsia="Times New Roman" w:hAnsi="Times New Roman" w:cs="Times New Roman"/>
          <w:sz w:val="24"/>
          <w:szCs w:val="24"/>
          <w:lang w:eastAsia="es-AR"/>
        </w:rPr>
        <w:t>Acceso: 23/11/05. Disponible en: </w:t>
      </w:r>
      <w:hyperlink r:id="rId9" w:history="1">
        <w:r w:rsidRPr="00093D76">
          <w:rPr>
            <w:rFonts w:ascii="Times New Roman" w:eastAsia="Times New Roman" w:hAnsi="Times New Roman" w:cs="Times New Roman"/>
            <w:color w:val="0000FF"/>
            <w:sz w:val="24"/>
            <w:szCs w:val="24"/>
            <w:u w:val="single"/>
            <w:lang w:eastAsia="es-AR"/>
          </w:rPr>
          <w:t>http://www.agemed.es/Inicio.htm</w:t>
        </w:r>
      </w:hyperlink>
    </w:p>
    <w:p w:rsidR="00093D76" w:rsidRPr="00093D76" w:rsidRDefault="00093D76" w:rsidP="00093D76">
      <w:pPr>
        <w:numPr>
          <w:ilvl w:val="0"/>
          <w:numId w:val="1"/>
        </w:numPr>
        <w:spacing w:before="0" w:beforeAutospacing="0" w:after="0" w:afterAutospacing="0" w:line="240" w:lineRule="auto"/>
        <w:ind w:left="2160"/>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val="en-GB" w:eastAsia="es-AR"/>
        </w:rPr>
        <w:t>Public Citizen. </w:t>
      </w:r>
      <w:r w:rsidRPr="00093D76">
        <w:rPr>
          <w:rFonts w:ascii="Times New Roman" w:eastAsia="Times New Roman" w:hAnsi="Times New Roman" w:cs="Times New Roman"/>
          <w:sz w:val="24"/>
          <w:szCs w:val="24"/>
          <w:lang w:val="en-GB" w:eastAsia="es-AR"/>
        </w:rPr>
        <w:t xml:space="preserve">Letter to the FDA concerning the United Kingdom's Committee on Safety of Medicine's recent warning about potentially serious drug interactions between St. John's </w:t>
      </w:r>
      <w:proofErr w:type="spellStart"/>
      <w:r w:rsidRPr="00093D76">
        <w:rPr>
          <w:rFonts w:ascii="Times New Roman" w:eastAsia="Times New Roman" w:hAnsi="Times New Roman" w:cs="Times New Roman"/>
          <w:sz w:val="24"/>
          <w:szCs w:val="24"/>
          <w:lang w:val="en-GB" w:eastAsia="es-AR"/>
        </w:rPr>
        <w:t>Wort</w:t>
      </w:r>
      <w:proofErr w:type="spellEnd"/>
      <w:r w:rsidRPr="00093D76">
        <w:rPr>
          <w:rFonts w:ascii="Times New Roman" w:eastAsia="Times New Roman" w:hAnsi="Times New Roman" w:cs="Times New Roman"/>
          <w:sz w:val="24"/>
          <w:szCs w:val="24"/>
          <w:lang w:val="en-GB" w:eastAsia="es-AR"/>
        </w:rPr>
        <w:t xml:space="preserve"> and a large number of other drugs. </w:t>
      </w:r>
      <w:r w:rsidRPr="00093D76">
        <w:rPr>
          <w:rFonts w:ascii="Times New Roman" w:eastAsia="Times New Roman" w:hAnsi="Times New Roman" w:cs="Times New Roman"/>
          <w:sz w:val="24"/>
          <w:szCs w:val="24"/>
          <w:lang w:val="fr-FR" w:eastAsia="es-AR"/>
        </w:rPr>
        <w:t>(HRG Publication #1513)</w:t>
      </w:r>
      <w:r w:rsidRPr="00093D76">
        <w:rPr>
          <w:rFonts w:ascii="Times New Roman" w:eastAsia="Times New Roman" w:hAnsi="Times New Roman" w:cs="Times New Roman"/>
          <w:b/>
          <w:bCs/>
          <w:sz w:val="24"/>
          <w:szCs w:val="24"/>
          <w:lang w:val="fr-FR" w:eastAsia="es-AR"/>
        </w:rPr>
        <w:t> </w:t>
      </w:r>
      <w:r w:rsidRPr="00093D76">
        <w:rPr>
          <w:rFonts w:ascii="Times New Roman" w:eastAsia="Times New Roman" w:hAnsi="Times New Roman" w:cs="Times New Roman"/>
          <w:sz w:val="24"/>
          <w:szCs w:val="24"/>
          <w:lang w:val="fr-FR" w:eastAsia="es-AR"/>
        </w:rPr>
        <w:t>EEUU. </w:t>
      </w:r>
      <w:r w:rsidRPr="00093D76">
        <w:rPr>
          <w:rFonts w:ascii="Times New Roman" w:eastAsia="Times New Roman" w:hAnsi="Times New Roman" w:cs="Times New Roman"/>
          <w:sz w:val="24"/>
          <w:szCs w:val="24"/>
          <w:lang w:eastAsia="es-AR"/>
        </w:rPr>
        <w:t>Fecha de Actualización: 02/03/02. Acceso: 23/11/05. Disponible en: http://www.citizen.org/publications/release.cfm?ID=6714</w:t>
      </w:r>
    </w:p>
    <w:p w:rsidR="00093D76" w:rsidRPr="00093D76" w:rsidRDefault="00093D76" w:rsidP="00093D76">
      <w:pPr>
        <w:numPr>
          <w:ilvl w:val="0"/>
          <w:numId w:val="1"/>
        </w:numPr>
        <w:spacing w:before="0" w:beforeAutospacing="0" w:after="0" w:afterAutospacing="0" w:line="240" w:lineRule="auto"/>
        <w:ind w:left="2160"/>
        <w:rPr>
          <w:rFonts w:ascii="Times New Roman" w:eastAsia="Times New Roman" w:hAnsi="Times New Roman" w:cs="Times New Roman"/>
          <w:sz w:val="24"/>
          <w:szCs w:val="24"/>
          <w:lang w:eastAsia="es-AR"/>
        </w:rPr>
      </w:pPr>
      <w:r w:rsidRPr="00093D76">
        <w:rPr>
          <w:rFonts w:ascii="Times New Roman" w:eastAsia="Times New Roman" w:hAnsi="Times New Roman" w:cs="Times New Roman"/>
          <w:b/>
          <w:bCs/>
          <w:sz w:val="24"/>
          <w:szCs w:val="24"/>
          <w:lang w:eastAsia="es-AR"/>
        </w:rPr>
        <w:t>Consejo General de Colegios Oficiales de Farmacéuticos.</w:t>
      </w:r>
      <w:r w:rsidRPr="00093D76">
        <w:rPr>
          <w:rFonts w:ascii="Times New Roman" w:eastAsia="Times New Roman" w:hAnsi="Times New Roman" w:cs="Times New Roman"/>
          <w:sz w:val="24"/>
          <w:szCs w:val="24"/>
          <w:lang w:eastAsia="es-AR"/>
        </w:rPr>
        <w:t> Base de datos del medicamento. [en línea] España. CGCOF. </w:t>
      </w:r>
      <w:r w:rsidRPr="00093D76">
        <w:rPr>
          <w:rFonts w:ascii="Times New Roman" w:eastAsia="Times New Roman" w:hAnsi="Times New Roman" w:cs="Times New Roman"/>
          <w:sz w:val="24"/>
          <w:szCs w:val="24"/>
          <w:lang w:val="es-ES_tradnl" w:eastAsia="es-AR"/>
        </w:rPr>
        <w:t>Acceso: 20/10/03. </w:t>
      </w:r>
      <w:r w:rsidRPr="00093D76">
        <w:rPr>
          <w:rFonts w:ascii="Times New Roman" w:eastAsia="Times New Roman" w:hAnsi="Times New Roman" w:cs="Times New Roman"/>
          <w:sz w:val="24"/>
          <w:szCs w:val="24"/>
          <w:lang w:eastAsia="es-AR"/>
        </w:rPr>
        <w:t>Disponible en</w:t>
      </w:r>
      <w:hyperlink r:id="rId10" w:history="1">
        <w:r w:rsidRPr="00093D76">
          <w:rPr>
            <w:rFonts w:ascii="Times New Roman" w:eastAsia="Times New Roman" w:hAnsi="Times New Roman" w:cs="Times New Roman"/>
            <w:color w:val="0000FF"/>
            <w:sz w:val="24"/>
            <w:szCs w:val="24"/>
            <w:u w:val="single"/>
            <w:lang w:eastAsia="es-AR"/>
          </w:rPr>
          <w:t>http://www.portalfarma.com/home.nsf</w:t>
        </w:r>
      </w:hyperlink>
    </w:p>
    <w:p w:rsidR="00093D76" w:rsidRPr="00093D76" w:rsidRDefault="00093D76" w:rsidP="00093D76">
      <w:pPr>
        <w:numPr>
          <w:ilvl w:val="0"/>
          <w:numId w:val="1"/>
        </w:numPr>
        <w:spacing w:before="0" w:beforeAutospacing="0" w:afterAutospacing="0" w:line="240" w:lineRule="auto"/>
        <w:ind w:left="2160"/>
        <w:rPr>
          <w:rFonts w:ascii="Times New Roman" w:eastAsia="Times New Roman" w:hAnsi="Times New Roman" w:cs="Times New Roman"/>
          <w:sz w:val="24"/>
          <w:szCs w:val="24"/>
          <w:lang w:eastAsia="es-AR"/>
        </w:rPr>
      </w:pPr>
      <w:r w:rsidRPr="00093D76">
        <w:rPr>
          <w:rFonts w:ascii="Times New Roman" w:eastAsia="Times New Roman" w:hAnsi="Times New Roman" w:cs="Times New Roman"/>
          <w:sz w:val="24"/>
          <w:szCs w:val="24"/>
          <w:lang w:val="es-ES_tradnl" w:eastAsia="es-AR"/>
        </w:rPr>
        <w:t>Administración Nacional de Medicamentos, Alimentos y Tecnología Médica. </w:t>
      </w:r>
      <w:r w:rsidRPr="00093D76">
        <w:rPr>
          <w:rFonts w:ascii="Times New Roman" w:eastAsia="Times New Roman" w:hAnsi="Times New Roman" w:cs="Times New Roman"/>
          <w:b/>
          <w:bCs/>
          <w:sz w:val="24"/>
          <w:szCs w:val="24"/>
          <w:lang w:val="es-ES_tradnl" w:eastAsia="es-AR"/>
        </w:rPr>
        <w:t>ANMAT</w:t>
      </w:r>
      <w:r w:rsidRPr="00093D76">
        <w:rPr>
          <w:rFonts w:ascii="Times New Roman" w:eastAsia="Times New Roman" w:hAnsi="Times New Roman" w:cs="Times New Roman"/>
          <w:sz w:val="24"/>
          <w:szCs w:val="24"/>
          <w:lang w:val="es-ES_tradnl" w:eastAsia="es-AR"/>
        </w:rPr>
        <w:t xml:space="preserve">. Disposición 1970/2001. Información que deberán contener los prospectos de especialidades medicinales que contengan como principio activo </w:t>
      </w:r>
      <w:proofErr w:type="spellStart"/>
      <w:r w:rsidRPr="00093D76">
        <w:rPr>
          <w:rFonts w:ascii="Times New Roman" w:eastAsia="Times New Roman" w:hAnsi="Times New Roman" w:cs="Times New Roman"/>
          <w:sz w:val="24"/>
          <w:szCs w:val="24"/>
          <w:lang w:val="es-ES_tradnl" w:eastAsia="es-AR"/>
        </w:rPr>
        <w:t>Hypericum</w:t>
      </w:r>
      <w:proofErr w:type="spellEnd"/>
      <w:r w:rsidRPr="00093D76">
        <w:rPr>
          <w:rFonts w:ascii="Times New Roman" w:eastAsia="Times New Roman" w:hAnsi="Times New Roman" w:cs="Times New Roman"/>
          <w:sz w:val="24"/>
          <w:szCs w:val="24"/>
          <w:lang w:val="es-ES_tradnl" w:eastAsia="es-AR"/>
        </w:rPr>
        <w:t xml:space="preserve"> </w:t>
      </w:r>
      <w:proofErr w:type="spellStart"/>
      <w:r w:rsidRPr="00093D76">
        <w:rPr>
          <w:rFonts w:ascii="Times New Roman" w:eastAsia="Times New Roman" w:hAnsi="Times New Roman" w:cs="Times New Roman"/>
          <w:sz w:val="24"/>
          <w:szCs w:val="24"/>
          <w:lang w:val="es-ES_tradnl" w:eastAsia="es-AR"/>
        </w:rPr>
        <w:t>Perforatum</w:t>
      </w:r>
      <w:proofErr w:type="spellEnd"/>
      <w:r w:rsidRPr="00093D76">
        <w:rPr>
          <w:rFonts w:ascii="Times New Roman" w:eastAsia="Times New Roman" w:hAnsi="Times New Roman" w:cs="Times New Roman"/>
          <w:sz w:val="24"/>
          <w:szCs w:val="24"/>
          <w:lang w:val="es-ES_tradnl" w:eastAsia="es-AR"/>
        </w:rPr>
        <w:t>-Hipérico. </w:t>
      </w:r>
      <w:r w:rsidRPr="00093D76">
        <w:rPr>
          <w:rFonts w:ascii="Times New Roman" w:eastAsia="Times New Roman" w:hAnsi="Times New Roman" w:cs="Times New Roman"/>
          <w:sz w:val="24"/>
          <w:szCs w:val="24"/>
          <w:lang w:eastAsia="es-AR"/>
        </w:rPr>
        <w:t xml:space="preserve">[en línea] Acceso: 23/11/05. Disponible </w:t>
      </w:r>
      <w:proofErr w:type="spellStart"/>
      <w:r w:rsidRPr="00093D76">
        <w:rPr>
          <w:rFonts w:ascii="Times New Roman" w:eastAsia="Times New Roman" w:hAnsi="Times New Roman" w:cs="Times New Roman"/>
          <w:sz w:val="24"/>
          <w:szCs w:val="24"/>
          <w:lang w:eastAsia="es-AR"/>
        </w:rPr>
        <w:t>en:</w:t>
      </w:r>
      <w:hyperlink r:id="rId11" w:history="1">
        <w:r w:rsidRPr="00093D76">
          <w:rPr>
            <w:rFonts w:ascii="Times New Roman" w:eastAsia="Times New Roman" w:hAnsi="Times New Roman" w:cs="Times New Roman"/>
            <w:color w:val="0000FF"/>
            <w:sz w:val="24"/>
            <w:szCs w:val="24"/>
            <w:u w:val="single"/>
            <w:lang w:eastAsia="es-AR"/>
          </w:rPr>
          <w:t>http</w:t>
        </w:r>
        <w:proofErr w:type="spellEnd"/>
        <w:r w:rsidRPr="00093D76">
          <w:rPr>
            <w:rFonts w:ascii="Times New Roman" w:eastAsia="Times New Roman" w:hAnsi="Times New Roman" w:cs="Times New Roman"/>
            <w:color w:val="0000FF"/>
            <w:sz w:val="24"/>
            <w:szCs w:val="24"/>
            <w:u w:val="single"/>
            <w:lang w:eastAsia="es-AR"/>
          </w:rPr>
          <w:t>://www.puntofocal.gov.ar/doc/arg2001/arg22.pdf</w:t>
        </w:r>
      </w:hyperlink>
    </w:p>
    <w:p w:rsidR="006C5EA9" w:rsidRDefault="00093D76">
      <w:bookmarkStart w:id="0" w:name="_GoBack"/>
      <w:bookmarkEnd w:id="0"/>
    </w:p>
    <w:sectPr w:rsidR="006C5E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267E0"/>
    <w:multiLevelType w:val="multilevel"/>
    <w:tmpl w:val="89E2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D76"/>
    <w:rsid w:val="000409FE"/>
    <w:rsid w:val="00042FE9"/>
    <w:rsid w:val="00093D76"/>
    <w:rsid w:val="0028202B"/>
    <w:rsid w:val="005A7A08"/>
    <w:rsid w:val="005D6914"/>
    <w:rsid w:val="006336F5"/>
    <w:rsid w:val="00672FB9"/>
    <w:rsid w:val="007131AE"/>
    <w:rsid w:val="00A21C79"/>
    <w:rsid w:val="00A67FFC"/>
    <w:rsid w:val="00E85E78"/>
    <w:rsid w:val="00EF5B27"/>
    <w:rsid w:val="00F038A4"/>
    <w:rsid w:val="00F7228C"/>
    <w:rsid w:val="00FA3F55"/>
    <w:rsid w:val="00FD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n-US" w:bidi="ar-SA"/>
      </w:rPr>
    </w:rPrDefault>
    <w:pPrDefault>
      <w:pPr>
        <w:spacing w:before="100" w:beforeAutospacing="1" w:after="100" w:after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0" w:unhideWhenUsed="0" w:qFormat="1"/>
    <w:lsdException w:name="Default Paragraph Font" w:uiPriority="1"/>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1AE"/>
    <w:rPr>
      <w:rFonts w:cs="Calibri"/>
    </w:rPr>
  </w:style>
  <w:style w:type="paragraph" w:styleId="Ttulo1">
    <w:name w:val="heading 1"/>
    <w:basedOn w:val="Normal"/>
    <w:next w:val="Normal"/>
    <w:link w:val="Ttulo1Car"/>
    <w:uiPriority w:val="9"/>
    <w:qFormat/>
    <w:rsid w:val="00E85E78"/>
    <w:pPr>
      <w:jc w:val="center"/>
      <w:outlineLvl w:val="0"/>
    </w:pPr>
    <w:rPr>
      <w:rFonts w:ascii="Arial" w:hAnsi="Arial" w:cs="Arial"/>
      <w:b/>
      <w:sz w:val="40"/>
    </w:rPr>
  </w:style>
  <w:style w:type="paragraph" w:styleId="Ttulo2">
    <w:name w:val="heading 2"/>
    <w:basedOn w:val="Normal"/>
    <w:next w:val="Normal"/>
    <w:link w:val="Ttulo2Car"/>
    <w:uiPriority w:val="99"/>
    <w:qFormat/>
    <w:rsid w:val="00E85E78"/>
    <w:pPr>
      <w:keepNext/>
      <w:keepLines/>
      <w:outlineLvl w:val="1"/>
    </w:pPr>
    <w:rPr>
      <w:rFonts w:ascii="Arial" w:hAnsi="Arial" w:cs="Arial"/>
      <w:b/>
      <w:bCs/>
      <w:sz w:val="24"/>
    </w:rPr>
  </w:style>
  <w:style w:type="paragraph" w:styleId="Ttulo3">
    <w:name w:val="heading 3"/>
    <w:basedOn w:val="Normal"/>
    <w:next w:val="Normal"/>
    <w:link w:val="Ttulo3Car"/>
    <w:uiPriority w:val="99"/>
    <w:qFormat/>
    <w:rsid w:val="00E85E78"/>
    <w:pPr>
      <w:keepNext/>
      <w:keepLines/>
      <w:spacing w:before="200" w:after="0"/>
      <w:outlineLvl w:val="2"/>
    </w:pPr>
    <w:rPr>
      <w:rFonts w:ascii="Arial" w:hAnsi="Arial" w:cs="Arial"/>
      <w:b/>
      <w:bCs/>
      <w:sz w:val="24"/>
    </w:rPr>
  </w:style>
  <w:style w:type="paragraph" w:styleId="Ttulo4">
    <w:name w:val="heading 4"/>
    <w:basedOn w:val="Ttulo5"/>
    <w:next w:val="Normal"/>
    <w:link w:val="Ttulo4Car"/>
    <w:uiPriority w:val="99"/>
    <w:qFormat/>
    <w:rsid w:val="00E85E78"/>
    <w:pPr>
      <w:spacing w:before="100" w:after="100"/>
      <w:outlineLvl w:val="3"/>
    </w:pPr>
    <w:rPr>
      <w:rFonts w:ascii="Arial" w:hAnsi="Arial" w:cs="Arial"/>
      <w:b w:val="0"/>
      <w:bCs w:val="0"/>
    </w:rPr>
  </w:style>
  <w:style w:type="paragraph" w:styleId="Ttulo5">
    <w:name w:val="heading 5"/>
    <w:basedOn w:val="Normal"/>
    <w:next w:val="Normal"/>
    <w:link w:val="Ttulo5Car"/>
    <w:uiPriority w:val="99"/>
    <w:qFormat/>
    <w:rsid w:val="00E85E78"/>
    <w:pPr>
      <w:keepNext/>
      <w:keepLines/>
      <w:spacing w:before="200" w:after="0"/>
      <w:outlineLvl w:val="4"/>
    </w:pPr>
    <w:rPr>
      <w:rFonts w:ascii="Cambria" w:hAnsi="Cambria" w:cs="Cambria"/>
      <w:b/>
      <w:bCs/>
    </w:rPr>
  </w:style>
  <w:style w:type="paragraph" w:styleId="Ttulo6">
    <w:name w:val="heading 6"/>
    <w:basedOn w:val="Ttulo5"/>
    <w:next w:val="Normal"/>
    <w:link w:val="Ttulo6Car"/>
    <w:semiHidden/>
    <w:unhideWhenUsed/>
    <w:qFormat/>
    <w:locked/>
    <w:rsid w:val="00F038A4"/>
    <w:pPr>
      <w:outlineLvl w:val="5"/>
    </w:pPr>
    <w:rPr>
      <w:rFonts w:asciiTheme="majorHAnsi" w:eastAsiaTheme="majorEastAsia" w:hAnsiTheme="majorHAnsi" w:cstheme="majorBidi"/>
      <w:b w:val="0"/>
      <w:bCs w:val="0"/>
      <w:i/>
      <w:iCs/>
      <w:color w:val="243F60" w:themeColor="accent1" w:themeShade="7F"/>
    </w:rPr>
  </w:style>
  <w:style w:type="paragraph" w:styleId="Ttulo7">
    <w:name w:val="heading 7"/>
    <w:basedOn w:val="Normal"/>
    <w:next w:val="Normal"/>
    <w:link w:val="Ttulo7Car"/>
    <w:semiHidden/>
    <w:unhideWhenUsed/>
    <w:qFormat/>
    <w:locked/>
    <w:rsid w:val="00F038A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5E78"/>
    <w:rPr>
      <w:rFonts w:ascii="Arial" w:hAnsi="Arial" w:cs="Arial"/>
      <w:b/>
      <w:sz w:val="40"/>
    </w:rPr>
  </w:style>
  <w:style w:type="character" w:customStyle="1" w:styleId="Ttulo2Car">
    <w:name w:val="Título 2 Car"/>
    <w:basedOn w:val="Fuentedeprrafopredeter"/>
    <w:link w:val="Ttulo2"/>
    <w:uiPriority w:val="99"/>
    <w:rsid w:val="00E85E78"/>
    <w:rPr>
      <w:rFonts w:ascii="Arial" w:hAnsi="Arial" w:cs="Arial"/>
      <w:b/>
      <w:bCs/>
      <w:sz w:val="24"/>
    </w:rPr>
  </w:style>
  <w:style w:type="character" w:customStyle="1" w:styleId="Ttulo3Car">
    <w:name w:val="Título 3 Car"/>
    <w:basedOn w:val="Fuentedeprrafopredeter"/>
    <w:link w:val="Ttulo3"/>
    <w:uiPriority w:val="99"/>
    <w:rsid w:val="00E85E78"/>
    <w:rPr>
      <w:rFonts w:ascii="Arial" w:hAnsi="Arial" w:cs="Arial"/>
      <w:b/>
      <w:bCs/>
      <w:sz w:val="24"/>
    </w:rPr>
  </w:style>
  <w:style w:type="character" w:customStyle="1" w:styleId="Ttulo4Car">
    <w:name w:val="Título 4 Car"/>
    <w:basedOn w:val="Fuentedeprrafopredeter"/>
    <w:link w:val="Ttulo4"/>
    <w:uiPriority w:val="99"/>
    <w:rsid w:val="00E85E78"/>
    <w:rPr>
      <w:rFonts w:ascii="Arial" w:hAnsi="Arial" w:cs="Arial"/>
      <w:b/>
      <w:bCs/>
    </w:rPr>
  </w:style>
  <w:style w:type="character" w:customStyle="1" w:styleId="Ttulo5Car">
    <w:name w:val="Título 5 Car"/>
    <w:basedOn w:val="Fuentedeprrafopredeter"/>
    <w:link w:val="Ttulo5"/>
    <w:uiPriority w:val="99"/>
    <w:rsid w:val="00E85E78"/>
    <w:rPr>
      <w:rFonts w:ascii="Cambria" w:hAnsi="Cambria" w:cs="Cambria"/>
      <w:b/>
      <w:bCs/>
    </w:rPr>
  </w:style>
  <w:style w:type="character" w:customStyle="1" w:styleId="Ttulo6Car">
    <w:name w:val="Título 6 Car"/>
    <w:basedOn w:val="Fuentedeprrafopredeter"/>
    <w:link w:val="Ttulo6"/>
    <w:semiHidden/>
    <w:rsid w:val="00F038A4"/>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semiHidden/>
    <w:rsid w:val="00F038A4"/>
    <w:rPr>
      <w:rFonts w:asciiTheme="majorHAnsi" w:eastAsiaTheme="majorEastAsia" w:hAnsiTheme="majorHAnsi" w:cstheme="majorBidi"/>
      <w:i/>
      <w:iCs/>
      <w:color w:val="404040" w:themeColor="text1" w:themeTint="BF"/>
    </w:rPr>
  </w:style>
  <w:style w:type="paragraph" w:styleId="TDC1">
    <w:name w:val="toc 1"/>
    <w:basedOn w:val="Normal"/>
    <w:next w:val="Normal"/>
    <w:autoRedefine/>
    <w:uiPriority w:val="39"/>
    <w:unhideWhenUsed/>
    <w:rsid w:val="00F038A4"/>
    <w:pPr>
      <w:tabs>
        <w:tab w:val="right" w:leader="dot" w:pos="8828"/>
      </w:tabs>
    </w:pPr>
  </w:style>
  <w:style w:type="paragraph" w:styleId="TDC2">
    <w:name w:val="toc 2"/>
    <w:basedOn w:val="Normal"/>
    <w:next w:val="Normal"/>
    <w:autoRedefine/>
    <w:uiPriority w:val="39"/>
    <w:unhideWhenUsed/>
    <w:rsid w:val="00F038A4"/>
    <w:pPr>
      <w:ind w:left="220"/>
    </w:pPr>
  </w:style>
  <w:style w:type="paragraph" w:styleId="TDC3">
    <w:name w:val="toc 3"/>
    <w:basedOn w:val="Normal"/>
    <w:next w:val="Normal"/>
    <w:autoRedefine/>
    <w:uiPriority w:val="39"/>
    <w:unhideWhenUsed/>
    <w:rsid w:val="00F038A4"/>
    <w:pPr>
      <w:ind w:left="440"/>
    </w:pPr>
  </w:style>
  <w:style w:type="paragraph" w:styleId="Epgrafe">
    <w:name w:val="caption"/>
    <w:basedOn w:val="Normal"/>
    <w:next w:val="Normal"/>
    <w:uiPriority w:val="35"/>
    <w:qFormat/>
    <w:rsid w:val="00E85E78"/>
    <w:pPr>
      <w:spacing w:line="240" w:lineRule="auto"/>
    </w:pPr>
    <w:rPr>
      <w:b/>
      <w:bCs/>
      <w:color w:val="4F81BD"/>
      <w:sz w:val="18"/>
      <w:szCs w:val="18"/>
    </w:rPr>
  </w:style>
  <w:style w:type="paragraph" w:styleId="Subttulo">
    <w:name w:val="Subtitle"/>
    <w:basedOn w:val="Ttulo4"/>
    <w:next w:val="Normal"/>
    <w:link w:val="SubttuloCar"/>
    <w:uiPriority w:val="99"/>
    <w:qFormat/>
    <w:locked/>
    <w:rsid w:val="00E85E78"/>
    <w:pPr>
      <w:keepNext w:val="0"/>
      <w:keepLines w:val="0"/>
      <w:spacing w:before="0" w:after="200"/>
    </w:pPr>
    <w:rPr>
      <w:rFonts w:ascii="Calibri" w:hAnsi="Calibri" w:cs="Calibri"/>
      <w:b/>
      <w:bCs/>
      <w:sz w:val="24"/>
      <w:szCs w:val="24"/>
      <w:u w:val="single"/>
      <w:lang w:eastAsia="es-ES"/>
    </w:rPr>
  </w:style>
  <w:style w:type="character" w:customStyle="1" w:styleId="SubttuloCar">
    <w:name w:val="Subtítulo Car"/>
    <w:basedOn w:val="Fuentedeprrafopredeter"/>
    <w:link w:val="Subttulo"/>
    <w:uiPriority w:val="99"/>
    <w:rsid w:val="00E85E78"/>
    <w:rPr>
      <w:rFonts w:cs="Calibri"/>
      <w:b/>
      <w:bCs/>
      <w:sz w:val="24"/>
      <w:szCs w:val="24"/>
      <w:u w:val="single"/>
      <w:lang w:eastAsia="es-ES"/>
    </w:rPr>
  </w:style>
  <w:style w:type="character" w:styleId="nfasis">
    <w:name w:val="Emphasis"/>
    <w:basedOn w:val="Fuentedeprrafopredeter"/>
    <w:qFormat/>
    <w:locked/>
    <w:rsid w:val="00FD5512"/>
    <w:rPr>
      <w:i/>
      <w:iCs/>
    </w:rPr>
  </w:style>
  <w:style w:type="paragraph" w:styleId="Sinespaciado">
    <w:name w:val="No Spacing"/>
    <w:link w:val="SinespaciadoCar"/>
    <w:uiPriority w:val="99"/>
    <w:qFormat/>
    <w:rsid w:val="00E85E78"/>
    <w:rPr>
      <w:lang w:eastAsia="es-AR"/>
    </w:rPr>
  </w:style>
  <w:style w:type="character" w:customStyle="1" w:styleId="SinespaciadoCar">
    <w:name w:val="Sin espaciado Car"/>
    <w:basedOn w:val="Fuentedeprrafopredeter"/>
    <w:link w:val="Sinespaciado"/>
    <w:uiPriority w:val="99"/>
    <w:rsid w:val="00E85E78"/>
    <w:rPr>
      <w:lang w:eastAsia="es-AR"/>
    </w:rPr>
  </w:style>
  <w:style w:type="paragraph" w:styleId="Prrafodelista">
    <w:name w:val="List Paragraph"/>
    <w:basedOn w:val="Normal"/>
    <w:uiPriority w:val="99"/>
    <w:qFormat/>
    <w:rsid w:val="00E85E78"/>
    <w:pPr>
      <w:ind w:left="720"/>
    </w:pPr>
  </w:style>
  <w:style w:type="paragraph" w:styleId="TtulodeTDC">
    <w:name w:val="TOC Heading"/>
    <w:basedOn w:val="Ttulo1"/>
    <w:next w:val="Normal"/>
    <w:uiPriority w:val="39"/>
    <w:semiHidden/>
    <w:unhideWhenUsed/>
    <w:qFormat/>
    <w:rsid w:val="00F038A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character" w:customStyle="1" w:styleId="apple-converted-space">
    <w:name w:val="apple-converted-space"/>
    <w:basedOn w:val="Fuentedeprrafopredeter"/>
    <w:rsid w:val="00093D76"/>
  </w:style>
  <w:style w:type="character" w:styleId="Hipervnculo">
    <w:name w:val="Hyperlink"/>
    <w:basedOn w:val="Fuentedeprrafopredeter"/>
    <w:uiPriority w:val="99"/>
    <w:semiHidden/>
    <w:unhideWhenUsed/>
    <w:rsid w:val="00093D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AR" w:eastAsia="en-US" w:bidi="ar-SA"/>
      </w:rPr>
    </w:rPrDefault>
    <w:pPrDefault>
      <w:pPr>
        <w:spacing w:before="100" w:beforeAutospacing="1" w:after="100" w:after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0" w:unhideWhenUsed="0" w:qFormat="1"/>
    <w:lsdException w:name="Default Paragraph Font" w:uiPriority="1"/>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1AE"/>
    <w:rPr>
      <w:rFonts w:cs="Calibri"/>
    </w:rPr>
  </w:style>
  <w:style w:type="paragraph" w:styleId="Ttulo1">
    <w:name w:val="heading 1"/>
    <w:basedOn w:val="Normal"/>
    <w:next w:val="Normal"/>
    <w:link w:val="Ttulo1Car"/>
    <w:uiPriority w:val="9"/>
    <w:qFormat/>
    <w:rsid w:val="00E85E78"/>
    <w:pPr>
      <w:jc w:val="center"/>
      <w:outlineLvl w:val="0"/>
    </w:pPr>
    <w:rPr>
      <w:rFonts w:ascii="Arial" w:hAnsi="Arial" w:cs="Arial"/>
      <w:b/>
      <w:sz w:val="40"/>
    </w:rPr>
  </w:style>
  <w:style w:type="paragraph" w:styleId="Ttulo2">
    <w:name w:val="heading 2"/>
    <w:basedOn w:val="Normal"/>
    <w:next w:val="Normal"/>
    <w:link w:val="Ttulo2Car"/>
    <w:uiPriority w:val="99"/>
    <w:qFormat/>
    <w:rsid w:val="00E85E78"/>
    <w:pPr>
      <w:keepNext/>
      <w:keepLines/>
      <w:outlineLvl w:val="1"/>
    </w:pPr>
    <w:rPr>
      <w:rFonts w:ascii="Arial" w:hAnsi="Arial" w:cs="Arial"/>
      <w:b/>
      <w:bCs/>
      <w:sz w:val="24"/>
    </w:rPr>
  </w:style>
  <w:style w:type="paragraph" w:styleId="Ttulo3">
    <w:name w:val="heading 3"/>
    <w:basedOn w:val="Normal"/>
    <w:next w:val="Normal"/>
    <w:link w:val="Ttulo3Car"/>
    <w:uiPriority w:val="99"/>
    <w:qFormat/>
    <w:rsid w:val="00E85E78"/>
    <w:pPr>
      <w:keepNext/>
      <w:keepLines/>
      <w:spacing w:before="200" w:after="0"/>
      <w:outlineLvl w:val="2"/>
    </w:pPr>
    <w:rPr>
      <w:rFonts w:ascii="Arial" w:hAnsi="Arial" w:cs="Arial"/>
      <w:b/>
      <w:bCs/>
      <w:sz w:val="24"/>
    </w:rPr>
  </w:style>
  <w:style w:type="paragraph" w:styleId="Ttulo4">
    <w:name w:val="heading 4"/>
    <w:basedOn w:val="Ttulo5"/>
    <w:next w:val="Normal"/>
    <w:link w:val="Ttulo4Car"/>
    <w:uiPriority w:val="99"/>
    <w:qFormat/>
    <w:rsid w:val="00E85E78"/>
    <w:pPr>
      <w:spacing w:before="100" w:after="100"/>
      <w:outlineLvl w:val="3"/>
    </w:pPr>
    <w:rPr>
      <w:rFonts w:ascii="Arial" w:hAnsi="Arial" w:cs="Arial"/>
      <w:b w:val="0"/>
      <w:bCs w:val="0"/>
    </w:rPr>
  </w:style>
  <w:style w:type="paragraph" w:styleId="Ttulo5">
    <w:name w:val="heading 5"/>
    <w:basedOn w:val="Normal"/>
    <w:next w:val="Normal"/>
    <w:link w:val="Ttulo5Car"/>
    <w:uiPriority w:val="99"/>
    <w:qFormat/>
    <w:rsid w:val="00E85E78"/>
    <w:pPr>
      <w:keepNext/>
      <w:keepLines/>
      <w:spacing w:before="200" w:after="0"/>
      <w:outlineLvl w:val="4"/>
    </w:pPr>
    <w:rPr>
      <w:rFonts w:ascii="Cambria" w:hAnsi="Cambria" w:cs="Cambria"/>
      <w:b/>
      <w:bCs/>
    </w:rPr>
  </w:style>
  <w:style w:type="paragraph" w:styleId="Ttulo6">
    <w:name w:val="heading 6"/>
    <w:basedOn w:val="Ttulo5"/>
    <w:next w:val="Normal"/>
    <w:link w:val="Ttulo6Car"/>
    <w:semiHidden/>
    <w:unhideWhenUsed/>
    <w:qFormat/>
    <w:locked/>
    <w:rsid w:val="00F038A4"/>
    <w:pPr>
      <w:outlineLvl w:val="5"/>
    </w:pPr>
    <w:rPr>
      <w:rFonts w:asciiTheme="majorHAnsi" w:eastAsiaTheme="majorEastAsia" w:hAnsiTheme="majorHAnsi" w:cstheme="majorBidi"/>
      <w:b w:val="0"/>
      <w:bCs w:val="0"/>
      <w:i/>
      <w:iCs/>
      <w:color w:val="243F60" w:themeColor="accent1" w:themeShade="7F"/>
    </w:rPr>
  </w:style>
  <w:style w:type="paragraph" w:styleId="Ttulo7">
    <w:name w:val="heading 7"/>
    <w:basedOn w:val="Normal"/>
    <w:next w:val="Normal"/>
    <w:link w:val="Ttulo7Car"/>
    <w:semiHidden/>
    <w:unhideWhenUsed/>
    <w:qFormat/>
    <w:locked/>
    <w:rsid w:val="00F038A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5E78"/>
    <w:rPr>
      <w:rFonts w:ascii="Arial" w:hAnsi="Arial" w:cs="Arial"/>
      <w:b/>
      <w:sz w:val="40"/>
    </w:rPr>
  </w:style>
  <w:style w:type="character" w:customStyle="1" w:styleId="Ttulo2Car">
    <w:name w:val="Título 2 Car"/>
    <w:basedOn w:val="Fuentedeprrafopredeter"/>
    <w:link w:val="Ttulo2"/>
    <w:uiPriority w:val="99"/>
    <w:rsid w:val="00E85E78"/>
    <w:rPr>
      <w:rFonts w:ascii="Arial" w:hAnsi="Arial" w:cs="Arial"/>
      <w:b/>
      <w:bCs/>
      <w:sz w:val="24"/>
    </w:rPr>
  </w:style>
  <w:style w:type="character" w:customStyle="1" w:styleId="Ttulo3Car">
    <w:name w:val="Título 3 Car"/>
    <w:basedOn w:val="Fuentedeprrafopredeter"/>
    <w:link w:val="Ttulo3"/>
    <w:uiPriority w:val="99"/>
    <w:rsid w:val="00E85E78"/>
    <w:rPr>
      <w:rFonts w:ascii="Arial" w:hAnsi="Arial" w:cs="Arial"/>
      <w:b/>
      <w:bCs/>
      <w:sz w:val="24"/>
    </w:rPr>
  </w:style>
  <w:style w:type="character" w:customStyle="1" w:styleId="Ttulo4Car">
    <w:name w:val="Título 4 Car"/>
    <w:basedOn w:val="Fuentedeprrafopredeter"/>
    <w:link w:val="Ttulo4"/>
    <w:uiPriority w:val="99"/>
    <w:rsid w:val="00E85E78"/>
    <w:rPr>
      <w:rFonts w:ascii="Arial" w:hAnsi="Arial" w:cs="Arial"/>
      <w:b/>
      <w:bCs/>
    </w:rPr>
  </w:style>
  <w:style w:type="character" w:customStyle="1" w:styleId="Ttulo5Car">
    <w:name w:val="Título 5 Car"/>
    <w:basedOn w:val="Fuentedeprrafopredeter"/>
    <w:link w:val="Ttulo5"/>
    <w:uiPriority w:val="99"/>
    <w:rsid w:val="00E85E78"/>
    <w:rPr>
      <w:rFonts w:ascii="Cambria" w:hAnsi="Cambria" w:cs="Cambria"/>
      <w:b/>
      <w:bCs/>
    </w:rPr>
  </w:style>
  <w:style w:type="character" w:customStyle="1" w:styleId="Ttulo6Car">
    <w:name w:val="Título 6 Car"/>
    <w:basedOn w:val="Fuentedeprrafopredeter"/>
    <w:link w:val="Ttulo6"/>
    <w:semiHidden/>
    <w:rsid w:val="00F038A4"/>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semiHidden/>
    <w:rsid w:val="00F038A4"/>
    <w:rPr>
      <w:rFonts w:asciiTheme="majorHAnsi" w:eastAsiaTheme="majorEastAsia" w:hAnsiTheme="majorHAnsi" w:cstheme="majorBidi"/>
      <w:i/>
      <w:iCs/>
      <w:color w:val="404040" w:themeColor="text1" w:themeTint="BF"/>
    </w:rPr>
  </w:style>
  <w:style w:type="paragraph" w:styleId="TDC1">
    <w:name w:val="toc 1"/>
    <w:basedOn w:val="Normal"/>
    <w:next w:val="Normal"/>
    <w:autoRedefine/>
    <w:uiPriority w:val="39"/>
    <w:unhideWhenUsed/>
    <w:rsid w:val="00F038A4"/>
    <w:pPr>
      <w:tabs>
        <w:tab w:val="right" w:leader="dot" w:pos="8828"/>
      </w:tabs>
    </w:pPr>
  </w:style>
  <w:style w:type="paragraph" w:styleId="TDC2">
    <w:name w:val="toc 2"/>
    <w:basedOn w:val="Normal"/>
    <w:next w:val="Normal"/>
    <w:autoRedefine/>
    <w:uiPriority w:val="39"/>
    <w:unhideWhenUsed/>
    <w:rsid w:val="00F038A4"/>
    <w:pPr>
      <w:ind w:left="220"/>
    </w:pPr>
  </w:style>
  <w:style w:type="paragraph" w:styleId="TDC3">
    <w:name w:val="toc 3"/>
    <w:basedOn w:val="Normal"/>
    <w:next w:val="Normal"/>
    <w:autoRedefine/>
    <w:uiPriority w:val="39"/>
    <w:unhideWhenUsed/>
    <w:rsid w:val="00F038A4"/>
    <w:pPr>
      <w:ind w:left="440"/>
    </w:pPr>
  </w:style>
  <w:style w:type="paragraph" w:styleId="Epgrafe">
    <w:name w:val="caption"/>
    <w:basedOn w:val="Normal"/>
    <w:next w:val="Normal"/>
    <w:uiPriority w:val="35"/>
    <w:qFormat/>
    <w:rsid w:val="00E85E78"/>
    <w:pPr>
      <w:spacing w:line="240" w:lineRule="auto"/>
    </w:pPr>
    <w:rPr>
      <w:b/>
      <w:bCs/>
      <w:color w:val="4F81BD"/>
      <w:sz w:val="18"/>
      <w:szCs w:val="18"/>
    </w:rPr>
  </w:style>
  <w:style w:type="paragraph" w:styleId="Subttulo">
    <w:name w:val="Subtitle"/>
    <w:basedOn w:val="Ttulo4"/>
    <w:next w:val="Normal"/>
    <w:link w:val="SubttuloCar"/>
    <w:uiPriority w:val="99"/>
    <w:qFormat/>
    <w:locked/>
    <w:rsid w:val="00E85E78"/>
    <w:pPr>
      <w:keepNext w:val="0"/>
      <w:keepLines w:val="0"/>
      <w:spacing w:before="0" w:after="200"/>
    </w:pPr>
    <w:rPr>
      <w:rFonts w:ascii="Calibri" w:hAnsi="Calibri" w:cs="Calibri"/>
      <w:b/>
      <w:bCs/>
      <w:sz w:val="24"/>
      <w:szCs w:val="24"/>
      <w:u w:val="single"/>
      <w:lang w:eastAsia="es-ES"/>
    </w:rPr>
  </w:style>
  <w:style w:type="character" w:customStyle="1" w:styleId="SubttuloCar">
    <w:name w:val="Subtítulo Car"/>
    <w:basedOn w:val="Fuentedeprrafopredeter"/>
    <w:link w:val="Subttulo"/>
    <w:uiPriority w:val="99"/>
    <w:rsid w:val="00E85E78"/>
    <w:rPr>
      <w:rFonts w:cs="Calibri"/>
      <w:b/>
      <w:bCs/>
      <w:sz w:val="24"/>
      <w:szCs w:val="24"/>
      <w:u w:val="single"/>
      <w:lang w:eastAsia="es-ES"/>
    </w:rPr>
  </w:style>
  <w:style w:type="character" w:styleId="nfasis">
    <w:name w:val="Emphasis"/>
    <w:basedOn w:val="Fuentedeprrafopredeter"/>
    <w:qFormat/>
    <w:locked/>
    <w:rsid w:val="00FD5512"/>
    <w:rPr>
      <w:i/>
      <w:iCs/>
    </w:rPr>
  </w:style>
  <w:style w:type="paragraph" w:styleId="Sinespaciado">
    <w:name w:val="No Spacing"/>
    <w:link w:val="SinespaciadoCar"/>
    <w:uiPriority w:val="99"/>
    <w:qFormat/>
    <w:rsid w:val="00E85E78"/>
    <w:rPr>
      <w:lang w:eastAsia="es-AR"/>
    </w:rPr>
  </w:style>
  <w:style w:type="character" w:customStyle="1" w:styleId="SinespaciadoCar">
    <w:name w:val="Sin espaciado Car"/>
    <w:basedOn w:val="Fuentedeprrafopredeter"/>
    <w:link w:val="Sinespaciado"/>
    <w:uiPriority w:val="99"/>
    <w:rsid w:val="00E85E78"/>
    <w:rPr>
      <w:lang w:eastAsia="es-AR"/>
    </w:rPr>
  </w:style>
  <w:style w:type="paragraph" w:styleId="Prrafodelista">
    <w:name w:val="List Paragraph"/>
    <w:basedOn w:val="Normal"/>
    <w:uiPriority w:val="99"/>
    <w:qFormat/>
    <w:rsid w:val="00E85E78"/>
    <w:pPr>
      <w:ind w:left="720"/>
    </w:pPr>
  </w:style>
  <w:style w:type="paragraph" w:styleId="TtulodeTDC">
    <w:name w:val="TOC Heading"/>
    <w:basedOn w:val="Ttulo1"/>
    <w:next w:val="Normal"/>
    <w:uiPriority w:val="39"/>
    <w:semiHidden/>
    <w:unhideWhenUsed/>
    <w:qFormat/>
    <w:rsid w:val="00F038A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character" w:customStyle="1" w:styleId="apple-converted-space">
    <w:name w:val="apple-converted-space"/>
    <w:basedOn w:val="Fuentedeprrafopredeter"/>
    <w:rsid w:val="00093D76"/>
  </w:style>
  <w:style w:type="character" w:styleId="Hipervnculo">
    <w:name w:val="Hyperlink"/>
    <w:basedOn w:val="Fuentedeprrafopredeter"/>
    <w:uiPriority w:val="99"/>
    <w:semiHidden/>
    <w:unhideWhenUsed/>
    <w:rsid w:val="00093D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954638">
      <w:bodyDiv w:val="1"/>
      <w:marLeft w:val="0"/>
      <w:marRight w:val="0"/>
      <w:marTop w:val="0"/>
      <w:marBottom w:val="0"/>
      <w:divBdr>
        <w:top w:val="none" w:sz="0" w:space="0" w:color="auto"/>
        <w:left w:val="none" w:sz="0" w:space="0" w:color="auto"/>
        <w:bottom w:val="none" w:sz="0" w:space="0" w:color="auto"/>
        <w:right w:val="none" w:sz="0" w:space="0" w:color="auto"/>
      </w:divBdr>
      <w:divsChild>
        <w:div w:id="115745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8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docs/html/alert.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atheneum.doyma.es/Socios/sala_l/cochrane/coch0027.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toterapia.net/" TargetMode="External"/><Relationship Id="rId11" Type="http://schemas.openxmlformats.org/officeDocument/2006/relationships/hyperlink" Target="http://www.puntofocal.gov.ar/doc/arg2001/arg22.pdf" TargetMode="External"/><Relationship Id="rId5" Type="http://schemas.openxmlformats.org/officeDocument/2006/relationships/webSettings" Target="webSettings.xml"/><Relationship Id="rId10" Type="http://schemas.openxmlformats.org/officeDocument/2006/relationships/hyperlink" Target="http://www.portalfarma.com/home.nsf" TargetMode="External"/><Relationship Id="rId4" Type="http://schemas.openxmlformats.org/officeDocument/2006/relationships/settings" Target="settings.xml"/><Relationship Id="rId9" Type="http://schemas.openxmlformats.org/officeDocument/2006/relationships/hyperlink" Target="http://www.agemed.es/Inici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1568</Words>
  <Characters>8628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dc:creator>
  <cp:lastModifiedBy>Juan Pablo</cp:lastModifiedBy>
  <cp:revision>1</cp:revision>
  <dcterms:created xsi:type="dcterms:W3CDTF">2016-05-11T17:19:00Z</dcterms:created>
  <dcterms:modified xsi:type="dcterms:W3CDTF">2016-05-11T17:19:00Z</dcterms:modified>
</cp:coreProperties>
</file>