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81" w:rsidRPr="00930281" w:rsidRDefault="00930281" w:rsidP="00930281">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0"/>
          <w:szCs w:val="20"/>
          <w:lang w:val="es-ES_tradnl" w:eastAsia="es-AR"/>
        </w:rPr>
        <w:t>BOLETÍN INFORMATIVO</w:t>
      </w:r>
      <w:r w:rsidRPr="00930281">
        <w:rPr>
          <w:rFonts w:ascii="Times New Roman" w:eastAsia="Times New Roman" w:hAnsi="Times New Roman" w:cs="Times New Roman"/>
          <w:color w:val="000000"/>
          <w:sz w:val="27"/>
          <w:szCs w:val="27"/>
          <w:lang w:eastAsia="es-AR"/>
        </w:rPr>
        <w:t> </w:t>
      </w:r>
      <w:r w:rsidRPr="00930281">
        <w:rPr>
          <w:rFonts w:ascii="Times New Roman" w:eastAsia="Times New Roman" w:hAnsi="Times New Roman" w:cs="Times New Roman"/>
          <w:color w:val="000000"/>
          <w:sz w:val="20"/>
          <w:szCs w:val="20"/>
          <w:lang w:eastAsia="es-AR"/>
        </w:rPr>
        <w:t>Nº1</w:t>
      </w:r>
      <w:r w:rsidRPr="00930281">
        <w:rPr>
          <w:rFonts w:ascii="Times New Roman" w:eastAsia="Times New Roman" w:hAnsi="Times New Roman" w:cs="Times New Roman"/>
          <w:color w:val="000000"/>
          <w:sz w:val="24"/>
          <w:szCs w:val="24"/>
          <w:lang w:eastAsia="es-AR"/>
        </w:rPr>
        <w:t>:</w:t>
      </w:r>
      <w:r w:rsidRPr="00930281">
        <w:rPr>
          <w:rFonts w:ascii="Times New Roman" w:eastAsia="Times New Roman" w:hAnsi="Times New Roman" w:cs="Times New Roman"/>
          <w:b/>
          <w:bCs/>
          <w:caps/>
          <w:color w:val="000000"/>
          <w:sz w:val="24"/>
          <w:szCs w:val="24"/>
          <w:lang w:eastAsia="es-AR"/>
        </w:rPr>
        <w:t>   </w:t>
      </w:r>
    </w:p>
    <w:p w:rsidR="00930281" w:rsidRPr="00930281" w:rsidRDefault="00930281" w:rsidP="00930281">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aps/>
          <w:color w:val="000000"/>
          <w:sz w:val="24"/>
          <w:szCs w:val="24"/>
          <w:u w:val="single"/>
          <w:lang w:eastAsia="es-AR"/>
        </w:rPr>
        <w:t>PROFILAXIS</w:t>
      </w:r>
      <w:r w:rsidRPr="00930281">
        <w:rPr>
          <w:rFonts w:ascii="Times New Roman" w:eastAsia="Times New Roman" w:hAnsi="Times New Roman" w:cs="Times New Roman"/>
          <w:b/>
          <w:bCs/>
          <w:caps/>
          <w:color w:val="000000"/>
          <w:sz w:val="24"/>
          <w:szCs w:val="24"/>
          <w:lang w:eastAsia="es-AR"/>
        </w:rPr>
        <w:t> </w:t>
      </w:r>
      <w:r w:rsidRPr="00930281">
        <w:rPr>
          <w:rFonts w:ascii="Times New Roman" w:eastAsia="Times New Roman" w:hAnsi="Times New Roman" w:cs="Times New Roman"/>
          <w:b/>
          <w:bCs/>
          <w:caps/>
          <w:color w:val="000000"/>
          <w:sz w:val="24"/>
          <w:szCs w:val="24"/>
          <w:u w:val="single"/>
          <w:lang w:eastAsia="es-AR"/>
        </w:rPr>
        <w:t>Y/O TRATAMIENTO DE LA ULCERA POR ESTRES</w:t>
      </w:r>
    </w:p>
    <w:p w:rsidR="00930281" w:rsidRPr="00930281" w:rsidRDefault="00930281" w:rsidP="00930281">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0"/>
          <w:szCs w:val="20"/>
          <w:lang w:eastAsia="es-AR"/>
        </w:rPr>
        <w:t>DPTO DE FARMACIA - FACULTAD DE Cs. QUÍMICAS</w:t>
      </w:r>
    </w:p>
    <w:p w:rsidR="00930281" w:rsidRPr="00930281" w:rsidRDefault="00930281" w:rsidP="00930281">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0"/>
          <w:szCs w:val="20"/>
          <w:lang w:eastAsia="es-AR"/>
        </w:rPr>
        <w:t>UNIVERSIDAD NACIONAL DE CÓRDOBA</w:t>
      </w:r>
    </w:p>
    <w:p w:rsidR="00930281" w:rsidRPr="00930281" w:rsidRDefault="00930281" w:rsidP="00930281">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0"/>
          <w:szCs w:val="20"/>
          <w:lang w:eastAsia="es-AR"/>
        </w:rPr>
        <w:t xml:space="preserve">Correa Salde V. – Fontana D. – </w:t>
      </w:r>
      <w:proofErr w:type="spellStart"/>
      <w:r w:rsidRPr="00930281">
        <w:rPr>
          <w:rFonts w:ascii="Times New Roman" w:eastAsia="Times New Roman" w:hAnsi="Times New Roman" w:cs="Times New Roman"/>
          <w:b/>
          <w:bCs/>
          <w:color w:val="000000"/>
          <w:sz w:val="20"/>
          <w:szCs w:val="20"/>
          <w:lang w:eastAsia="es-AR"/>
        </w:rPr>
        <w:t>Solá</w:t>
      </w:r>
      <w:proofErr w:type="spellEnd"/>
      <w:r w:rsidRPr="00930281">
        <w:rPr>
          <w:rFonts w:ascii="Times New Roman" w:eastAsia="Times New Roman" w:hAnsi="Times New Roman" w:cs="Times New Roman"/>
          <w:b/>
          <w:bCs/>
          <w:color w:val="000000"/>
          <w:sz w:val="20"/>
          <w:szCs w:val="20"/>
          <w:lang w:eastAsia="es-AR"/>
        </w:rPr>
        <w:t xml:space="preserve"> N.</w:t>
      </w:r>
    </w:p>
    <w:p w:rsidR="00930281" w:rsidRPr="00930281" w:rsidRDefault="00930281" w:rsidP="00930281">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0"/>
          <w:szCs w:val="20"/>
          <w:lang w:eastAsia="es-AR"/>
        </w:rPr>
        <w:t>- Abril 2000</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eastAsia="es-AR"/>
        </w:rPr>
        <w:t> </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4"/>
          <w:szCs w:val="24"/>
          <w:lang w:eastAsia="es-AR"/>
        </w:rPr>
        <w:t>Información General sobre RANITIDINA y SUCRALFATO</w:t>
      </w:r>
    </w:p>
    <w:p w:rsidR="00930281" w:rsidRPr="00930281" w:rsidRDefault="00930281" w:rsidP="00930281">
      <w:pPr>
        <w:shd w:val="clear" w:color="auto" w:fill="FFFFFF"/>
        <w:spacing w:line="240" w:lineRule="auto"/>
        <w:ind w:firstLine="0"/>
        <w:jc w:val="left"/>
        <w:outlineLvl w:val="2"/>
        <w:rPr>
          <w:rFonts w:ascii="Times New Roman" w:eastAsia="Times New Roman" w:hAnsi="Times New Roman" w:cs="Times New Roman"/>
          <w:b/>
          <w:bCs/>
          <w:color w:val="000000"/>
          <w:sz w:val="27"/>
          <w:szCs w:val="27"/>
          <w:lang w:eastAsia="es-AR"/>
        </w:rPr>
      </w:pPr>
      <w:r w:rsidRPr="00930281">
        <w:rPr>
          <w:rFonts w:ascii="Times New Roman" w:eastAsia="Times New Roman" w:hAnsi="Times New Roman" w:cs="Times New Roman"/>
          <w:b/>
          <w:bCs/>
          <w:color w:val="000000"/>
          <w:sz w:val="20"/>
          <w:szCs w:val="20"/>
          <w:lang w:val="es-ES_tradnl" w:eastAsia="es-AR"/>
        </w:rPr>
        <w:t>RESUMEN</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t>La úlcera por estrés se puede producir en el estómago o en el duodeno a causa de traumas físicos como quemaduras, cirugías, después de una sepsis severa o por diferentes enfermedades.</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t xml:space="preserve">Los antiácidos, los antagonistas de los receptores H2 y el </w:t>
      </w:r>
      <w:proofErr w:type="spellStart"/>
      <w:r w:rsidRPr="00930281">
        <w:rPr>
          <w:rFonts w:ascii="Times New Roman" w:eastAsia="Times New Roman" w:hAnsi="Times New Roman" w:cs="Times New Roman"/>
          <w:color w:val="000000"/>
          <w:sz w:val="27"/>
          <w:szCs w:val="27"/>
          <w:lang w:val="es-ES_tradnl" w:eastAsia="es-AR"/>
        </w:rPr>
        <w:t>sucralfato</w:t>
      </w:r>
      <w:proofErr w:type="spellEnd"/>
      <w:r w:rsidRPr="00930281">
        <w:rPr>
          <w:rFonts w:ascii="Times New Roman" w:eastAsia="Times New Roman" w:hAnsi="Times New Roman" w:cs="Times New Roman"/>
          <w:color w:val="000000"/>
          <w:sz w:val="27"/>
          <w:szCs w:val="27"/>
          <w:lang w:val="es-ES_tradnl" w:eastAsia="es-AR"/>
        </w:rPr>
        <w:t xml:space="preserve"> pueden prevenir la úlcera por estrés.</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16"/>
          <w:szCs w:val="16"/>
          <w:lang w:val="es-ES_tradnl" w:eastAsia="es-AR"/>
        </w:rPr>
        <w:t> </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t>La administración de antiácidos está asociada a efectos adversos tales como diarrea y disturbios metabólicos entre otros.</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16"/>
          <w:szCs w:val="16"/>
          <w:lang w:val="es-ES_tradnl" w:eastAsia="es-AR"/>
        </w:rPr>
        <w:t> </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t>Los antagonistas H2 son muy usados en pacientes de alto riesgo en las unidades de cuidados intensivos. Estas drogas producen un aumento del pH gástrico hasta un valor cercano a 4, lo cual sería efectivo para la prevención de la úlcera por estrés y para la disminución del sangrado. La administración endovenosa continua es más efectiva en el mantenimiento del pH que la administración intermitente. Este aumento del pH gástrico podría predisponer a los pacientes a desarrollar neumonías nosocomiales debido a la proliferación de bacterias Gram negativas en el estómago y a la colonización retrógrada de la faringe.</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t xml:space="preserve">No se han descripto problemas en niños durante el uso de </w:t>
      </w:r>
      <w:proofErr w:type="spellStart"/>
      <w:r w:rsidRPr="00930281">
        <w:rPr>
          <w:rFonts w:ascii="Times New Roman" w:eastAsia="Times New Roman" w:hAnsi="Times New Roman" w:cs="Times New Roman"/>
          <w:color w:val="000000"/>
          <w:sz w:val="27"/>
          <w:szCs w:val="27"/>
          <w:lang w:val="es-ES_tradnl" w:eastAsia="es-AR"/>
        </w:rPr>
        <w:t>ranitidina</w:t>
      </w:r>
      <w:proofErr w:type="spellEnd"/>
      <w:r w:rsidRPr="00930281">
        <w:rPr>
          <w:rFonts w:ascii="Times New Roman" w:eastAsia="Times New Roman" w:hAnsi="Times New Roman" w:cs="Times New Roman"/>
          <w:color w:val="000000"/>
          <w:sz w:val="27"/>
          <w:szCs w:val="27"/>
          <w:lang w:val="es-ES_tradnl" w:eastAsia="es-AR"/>
        </w:rPr>
        <w:t xml:space="preserve"> a corto plazo.</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t xml:space="preserve">Dentro de los antagonistas H2, la </w:t>
      </w:r>
      <w:proofErr w:type="spellStart"/>
      <w:r w:rsidRPr="00930281">
        <w:rPr>
          <w:rFonts w:ascii="Times New Roman" w:eastAsia="Times New Roman" w:hAnsi="Times New Roman" w:cs="Times New Roman"/>
          <w:color w:val="000000"/>
          <w:sz w:val="27"/>
          <w:szCs w:val="27"/>
          <w:lang w:val="es-ES_tradnl" w:eastAsia="es-AR"/>
        </w:rPr>
        <w:t>ranitidina</w:t>
      </w:r>
      <w:proofErr w:type="spellEnd"/>
      <w:r w:rsidRPr="00930281">
        <w:rPr>
          <w:rFonts w:ascii="Times New Roman" w:eastAsia="Times New Roman" w:hAnsi="Times New Roman" w:cs="Times New Roman"/>
          <w:color w:val="000000"/>
          <w:sz w:val="27"/>
          <w:szCs w:val="27"/>
          <w:lang w:val="es-ES_tradnl" w:eastAsia="es-AR"/>
        </w:rPr>
        <w:t xml:space="preserve"> ha demostrado mejores efectos que la cimetidina.</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16"/>
          <w:szCs w:val="16"/>
          <w:lang w:val="es-ES_tradnl" w:eastAsia="es-AR"/>
        </w:rPr>
        <w:t> </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lastRenderedPageBreak/>
        <w:t xml:space="preserve">El </w:t>
      </w:r>
      <w:proofErr w:type="spellStart"/>
      <w:r w:rsidRPr="00930281">
        <w:rPr>
          <w:rFonts w:ascii="Times New Roman" w:eastAsia="Times New Roman" w:hAnsi="Times New Roman" w:cs="Times New Roman"/>
          <w:color w:val="000000"/>
          <w:sz w:val="27"/>
          <w:szCs w:val="27"/>
          <w:lang w:val="es-ES_tradnl" w:eastAsia="es-AR"/>
        </w:rPr>
        <w:t>sucralfato</w:t>
      </w:r>
      <w:proofErr w:type="spellEnd"/>
      <w:r w:rsidRPr="00930281">
        <w:rPr>
          <w:rFonts w:ascii="Times New Roman" w:eastAsia="Times New Roman" w:hAnsi="Times New Roman" w:cs="Times New Roman"/>
          <w:color w:val="000000"/>
          <w:sz w:val="27"/>
          <w:szCs w:val="27"/>
          <w:lang w:val="es-ES_tradnl" w:eastAsia="es-AR"/>
        </w:rPr>
        <w:t xml:space="preserve"> es una droga que no altera el pH gástrico significativamente, pero puede ser tan efectivo como los antagonistas H2 en la reducción del sangrado. También está asociado con la disminución de casos de neumonía y mortalidad. No se dispone de suficiente experiencia clínica en niños por lo cual no se recomienda su uso en estos pacientes.</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0"/>
          <w:szCs w:val="20"/>
          <w:lang w:val="es-ES_tradnl" w:eastAsia="es-AR"/>
        </w:rPr>
        <w:t xml:space="preserve">En el medio ácido del estómago (pH por debajo de 4) el </w:t>
      </w:r>
      <w:proofErr w:type="spellStart"/>
      <w:r w:rsidRPr="00930281">
        <w:rPr>
          <w:rFonts w:ascii="Times New Roman" w:eastAsia="Times New Roman" w:hAnsi="Times New Roman" w:cs="Times New Roman"/>
          <w:color w:val="000000"/>
          <w:sz w:val="20"/>
          <w:szCs w:val="20"/>
          <w:lang w:val="es-ES_tradnl" w:eastAsia="es-AR"/>
        </w:rPr>
        <w:t>sucralfato</w:t>
      </w:r>
      <w:proofErr w:type="spellEnd"/>
      <w:r w:rsidRPr="00930281">
        <w:rPr>
          <w:rFonts w:ascii="Times New Roman" w:eastAsia="Times New Roman" w:hAnsi="Times New Roman" w:cs="Times New Roman"/>
          <w:color w:val="000000"/>
          <w:sz w:val="20"/>
          <w:szCs w:val="20"/>
          <w:lang w:val="es-ES_tradnl" w:eastAsia="es-AR"/>
        </w:rPr>
        <w:t xml:space="preserve"> se polimeriza y produce un gel viscoso que se adhiere a las proteínas del cráter ulceroso, tapizándolo y protegiéndolo durante más de seis horas de la acción corrosiva del jugo gástrico en las áreas dañadas. Esta fijación a los cráteres se considera representativa del efecto terapéutico principal del </w:t>
      </w:r>
      <w:proofErr w:type="spellStart"/>
      <w:r w:rsidRPr="00930281">
        <w:rPr>
          <w:rFonts w:ascii="Times New Roman" w:eastAsia="Times New Roman" w:hAnsi="Times New Roman" w:cs="Times New Roman"/>
          <w:color w:val="000000"/>
          <w:sz w:val="20"/>
          <w:szCs w:val="20"/>
          <w:lang w:val="es-ES_tradnl" w:eastAsia="es-AR"/>
        </w:rPr>
        <w:t>sucralfato</w:t>
      </w:r>
      <w:proofErr w:type="spellEnd"/>
      <w:r w:rsidRPr="00930281">
        <w:rPr>
          <w:rFonts w:ascii="Times New Roman" w:eastAsia="Times New Roman" w:hAnsi="Times New Roman" w:cs="Times New Roman"/>
          <w:color w:val="000000"/>
          <w:sz w:val="20"/>
          <w:szCs w:val="20"/>
          <w:lang w:val="es-ES_tradnl" w:eastAsia="es-AR"/>
        </w:rPr>
        <w:t>.</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0"/>
          <w:szCs w:val="20"/>
          <w:lang w:val="es-ES_tradnl" w:eastAsia="es-AR"/>
        </w:rPr>
        <w:t xml:space="preserve">La toxicidad potencial del </w:t>
      </w:r>
      <w:proofErr w:type="spellStart"/>
      <w:r w:rsidRPr="00930281">
        <w:rPr>
          <w:rFonts w:ascii="Times New Roman" w:eastAsia="Times New Roman" w:hAnsi="Times New Roman" w:cs="Times New Roman"/>
          <w:color w:val="000000"/>
          <w:sz w:val="20"/>
          <w:szCs w:val="20"/>
          <w:lang w:val="es-ES_tradnl" w:eastAsia="es-AR"/>
        </w:rPr>
        <w:t>sucralfato</w:t>
      </w:r>
      <w:proofErr w:type="spellEnd"/>
      <w:r w:rsidRPr="00930281">
        <w:rPr>
          <w:rFonts w:ascii="Times New Roman" w:eastAsia="Times New Roman" w:hAnsi="Times New Roman" w:cs="Times New Roman"/>
          <w:color w:val="000000"/>
          <w:sz w:val="20"/>
          <w:szCs w:val="20"/>
          <w:lang w:val="es-ES_tradnl" w:eastAsia="es-AR"/>
        </w:rPr>
        <w:t xml:space="preserve"> depende de su contenido en aluminio.</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0"/>
          <w:szCs w:val="20"/>
          <w:lang w:val="es-ES_tradnl" w:eastAsia="es-AR"/>
        </w:rPr>
        <w:t xml:space="preserve">Como el </w:t>
      </w:r>
      <w:proofErr w:type="spellStart"/>
      <w:r w:rsidRPr="00930281">
        <w:rPr>
          <w:rFonts w:ascii="Times New Roman" w:eastAsia="Times New Roman" w:hAnsi="Times New Roman" w:cs="Times New Roman"/>
          <w:b/>
          <w:bCs/>
          <w:color w:val="000000"/>
          <w:sz w:val="20"/>
          <w:szCs w:val="20"/>
          <w:lang w:val="es-ES_tradnl" w:eastAsia="es-AR"/>
        </w:rPr>
        <w:t>sucralfato</w:t>
      </w:r>
      <w:proofErr w:type="spellEnd"/>
      <w:r w:rsidRPr="00930281">
        <w:rPr>
          <w:rFonts w:ascii="Times New Roman" w:eastAsia="Times New Roman" w:hAnsi="Times New Roman" w:cs="Times New Roman"/>
          <w:b/>
          <w:bCs/>
          <w:color w:val="000000"/>
          <w:sz w:val="20"/>
          <w:szCs w:val="20"/>
          <w:lang w:val="es-ES_tradnl" w:eastAsia="es-AR"/>
        </w:rPr>
        <w:t xml:space="preserve"> se activa por ácido, es más eficaz cuando se da antes de las comidas, que después de las mismas. Por este motivo, no debe administrarse dentro de los 30 minutos que siguen a la administración de antiácidos. La administración conjunta de </w:t>
      </w:r>
      <w:proofErr w:type="spellStart"/>
      <w:r w:rsidRPr="00930281">
        <w:rPr>
          <w:rFonts w:ascii="Times New Roman" w:eastAsia="Times New Roman" w:hAnsi="Times New Roman" w:cs="Times New Roman"/>
          <w:b/>
          <w:bCs/>
          <w:color w:val="000000"/>
          <w:sz w:val="20"/>
          <w:szCs w:val="20"/>
          <w:lang w:val="es-ES_tradnl" w:eastAsia="es-AR"/>
        </w:rPr>
        <w:t>sucralfato</w:t>
      </w:r>
      <w:proofErr w:type="spellEnd"/>
      <w:r w:rsidRPr="00930281">
        <w:rPr>
          <w:rFonts w:ascii="Times New Roman" w:eastAsia="Times New Roman" w:hAnsi="Times New Roman" w:cs="Times New Roman"/>
          <w:b/>
          <w:bCs/>
          <w:color w:val="000000"/>
          <w:sz w:val="20"/>
          <w:szCs w:val="20"/>
          <w:lang w:val="es-ES_tradnl" w:eastAsia="es-AR"/>
        </w:rPr>
        <w:t xml:space="preserve"> con </w:t>
      </w:r>
      <w:proofErr w:type="spellStart"/>
      <w:r w:rsidRPr="00930281">
        <w:rPr>
          <w:rFonts w:ascii="Times New Roman" w:eastAsia="Times New Roman" w:hAnsi="Times New Roman" w:cs="Times New Roman"/>
          <w:b/>
          <w:bCs/>
          <w:color w:val="000000"/>
          <w:sz w:val="20"/>
          <w:szCs w:val="20"/>
          <w:lang w:val="es-ES_tradnl" w:eastAsia="es-AR"/>
        </w:rPr>
        <w:t>ranitidina</w:t>
      </w:r>
      <w:proofErr w:type="spellEnd"/>
      <w:r w:rsidRPr="00930281">
        <w:rPr>
          <w:rFonts w:ascii="Times New Roman" w:eastAsia="Times New Roman" w:hAnsi="Times New Roman" w:cs="Times New Roman"/>
          <w:b/>
          <w:bCs/>
          <w:color w:val="000000"/>
          <w:sz w:val="20"/>
          <w:szCs w:val="20"/>
          <w:lang w:val="es-ES_tradnl" w:eastAsia="es-AR"/>
        </w:rPr>
        <w:t xml:space="preserve"> disminuye la absorción oral de esta última.</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0"/>
          <w:szCs w:val="20"/>
          <w:lang w:val="es-ES_tradnl" w:eastAsia="es-AR"/>
        </w:rPr>
        <w:t xml:space="preserve">Los estudios de laboratorio indican que el </w:t>
      </w:r>
      <w:proofErr w:type="spellStart"/>
      <w:r w:rsidRPr="00930281">
        <w:rPr>
          <w:rFonts w:ascii="Times New Roman" w:eastAsia="Times New Roman" w:hAnsi="Times New Roman" w:cs="Times New Roman"/>
          <w:b/>
          <w:bCs/>
          <w:color w:val="000000"/>
          <w:sz w:val="20"/>
          <w:szCs w:val="20"/>
          <w:lang w:val="es-ES_tradnl" w:eastAsia="es-AR"/>
        </w:rPr>
        <w:t>sucralfato</w:t>
      </w:r>
      <w:proofErr w:type="spellEnd"/>
      <w:r w:rsidRPr="00930281">
        <w:rPr>
          <w:rFonts w:ascii="Times New Roman" w:eastAsia="Times New Roman" w:hAnsi="Times New Roman" w:cs="Times New Roman"/>
          <w:b/>
          <w:bCs/>
          <w:color w:val="000000"/>
          <w:sz w:val="20"/>
          <w:szCs w:val="20"/>
          <w:lang w:val="es-ES_tradnl" w:eastAsia="es-AR"/>
        </w:rPr>
        <w:t xml:space="preserve"> puede adsorber diversos fármacos y, con ello, reducir su biodisponibilidad. Las interacciones se pueden volver mínimas mediante la administración de las otras medicaciones dos horas antes de la de </w:t>
      </w:r>
      <w:proofErr w:type="spellStart"/>
      <w:r w:rsidRPr="00930281">
        <w:rPr>
          <w:rFonts w:ascii="Times New Roman" w:eastAsia="Times New Roman" w:hAnsi="Times New Roman" w:cs="Times New Roman"/>
          <w:b/>
          <w:bCs/>
          <w:color w:val="000000"/>
          <w:sz w:val="20"/>
          <w:szCs w:val="20"/>
          <w:lang w:val="es-ES_tradnl" w:eastAsia="es-AR"/>
        </w:rPr>
        <w:t>sucralfato</w:t>
      </w:r>
      <w:proofErr w:type="spellEnd"/>
      <w:r w:rsidRPr="00930281">
        <w:rPr>
          <w:rFonts w:ascii="Times New Roman" w:eastAsia="Times New Roman" w:hAnsi="Times New Roman" w:cs="Times New Roman"/>
          <w:b/>
          <w:bCs/>
          <w:color w:val="000000"/>
          <w:sz w:val="20"/>
          <w:szCs w:val="20"/>
          <w:lang w:val="es-ES_tradnl" w:eastAsia="es-AR"/>
        </w:rPr>
        <w:t>.</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16"/>
          <w:szCs w:val="16"/>
          <w:lang w:val="es-ES_tradnl" w:eastAsia="es-AR"/>
        </w:rPr>
        <w:t> </w:t>
      </w:r>
    </w:p>
    <w:p w:rsidR="00930281" w:rsidRPr="00930281" w:rsidRDefault="00930281" w:rsidP="00930281">
      <w:pPr>
        <w:shd w:val="clear" w:color="auto" w:fill="FFFFFF"/>
        <w:spacing w:line="240" w:lineRule="auto"/>
        <w:ind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7"/>
          <w:szCs w:val="27"/>
          <w:lang w:val="es-ES_tradnl" w:eastAsia="es-AR"/>
        </w:rPr>
        <w:t>Debería evaluarse si todos los pacientes en las unidades de cuidados intensivos tendrían que recibir profilaxis o sólo aquellos en estado grave.</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color w:val="000000"/>
          <w:sz w:val="20"/>
          <w:szCs w:val="20"/>
          <w:shd w:val="clear" w:color="auto" w:fill="FFFFFF"/>
          <w:lang w:eastAsia="es-AR"/>
        </w:rPr>
        <w:t xml:space="preserve">Hay estudios que demuestran que la profilaxis de la úlcera por estrés en pacientes con enfermedades críticas en las unidades de cuidados intensivos tratados con </w:t>
      </w:r>
      <w:proofErr w:type="spellStart"/>
      <w:r w:rsidRPr="00930281">
        <w:rPr>
          <w:rFonts w:ascii="Times New Roman" w:eastAsia="Times New Roman" w:hAnsi="Times New Roman" w:cs="Times New Roman"/>
          <w:color w:val="000000"/>
          <w:sz w:val="20"/>
          <w:szCs w:val="20"/>
          <w:shd w:val="clear" w:color="auto" w:fill="FFFFFF"/>
          <w:lang w:eastAsia="es-AR"/>
        </w:rPr>
        <w:t>sucralfato</w:t>
      </w:r>
      <w:proofErr w:type="spellEnd"/>
      <w:r w:rsidRPr="00930281">
        <w:rPr>
          <w:rFonts w:ascii="Times New Roman" w:eastAsia="Times New Roman" w:hAnsi="Times New Roman" w:cs="Times New Roman"/>
          <w:color w:val="000000"/>
          <w:sz w:val="20"/>
          <w:szCs w:val="20"/>
          <w:shd w:val="clear" w:color="auto" w:fill="FFFFFF"/>
          <w:lang w:eastAsia="es-AR"/>
        </w:rPr>
        <w:t xml:space="preserve"> no ha sido efectiva. Pacientes que recibían </w:t>
      </w:r>
      <w:proofErr w:type="spellStart"/>
      <w:r w:rsidRPr="00930281">
        <w:rPr>
          <w:rFonts w:ascii="Times New Roman" w:eastAsia="Times New Roman" w:hAnsi="Times New Roman" w:cs="Times New Roman"/>
          <w:color w:val="000000"/>
          <w:sz w:val="20"/>
          <w:szCs w:val="20"/>
          <w:shd w:val="clear" w:color="auto" w:fill="FFFFFF"/>
          <w:lang w:eastAsia="es-AR"/>
        </w:rPr>
        <w:t>ranitidina</w:t>
      </w:r>
      <w:proofErr w:type="spellEnd"/>
      <w:r w:rsidRPr="00930281">
        <w:rPr>
          <w:rFonts w:ascii="Times New Roman" w:eastAsia="Times New Roman" w:hAnsi="Times New Roman" w:cs="Times New Roman"/>
          <w:color w:val="000000"/>
          <w:sz w:val="20"/>
          <w:szCs w:val="20"/>
          <w:shd w:val="clear" w:color="auto" w:fill="FFFFFF"/>
          <w:lang w:eastAsia="es-AR"/>
        </w:rPr>
        <w:t xml:space="preserve"> IV (50mg. cada 8hs) tuvieron riesgos significativamente menores de sangrado gastrointestinal. En algunos estudios la profilaxis de la úlcera por estrés con </w:t>
      </w:r>
      <w:proofErr w:type="spellStart"/>
      <w:r w:rsidRPr="00930281">
        <w:rPr>
          <w:rFonts w:ascii="Times New Roman" w:eastAsia="Times New Roman" w:hAnsi="Times New Roman" w:cs="Times New Roman"/>
          <w:color w:val="000000"/>
          <w:sz w:val="20"/>
          <w:szCs w:val="20"/>
          <w:shd w:val="clear" w:color="auto" w:fill="FFFFFF"/>
          <w:lang w:eastAsia="es-AR"/>
        </w:rPr>
        <w:t>omeprazol</w:t>
      </w:r>
      <w:proofErr w:type="spellEnd"/>
      <w:r w:rsidRPr="00930281">
        <w:rPr>
          <w:rFonts w:ascii="Times New Roman" w:eastAsia="Times New Roman" w:hAnsi="Times New Roman" w:cs="Times New Roman"/>
          <w:color w:val="000000"/>
          <w:sz w:val="20"/>
          <w:szCs w:val="20"/>
          <w:shd w:val="clear" w:color="auto" w:fill="FFFFFF"/>
          <w:lang w:eastAsia="es-AR"/>
        </w:rPr>
        <w:t xml:space="preserve"> fue más efectiva que la profilaxis con </w:t>
      </w:r>
      <w:proofErr w:type="spellStart"/>
      <w:r w:rsidRPr="00930281">
        <w:rPr>
          <w:rFonts w:ascii="Times New Roman" w:eastAsia="Times New Roman" w:hAnsi="Times New Roman" w:cs="Times New Roman"/>
          <w:color w:val="000000"/>
          <w:sz w:val="20"/>
          <w:szCs w:val="20"/>
          <w:shd w:val="clear" w:color="auto" w:fill="FFFFFF"/>
          <w:lang w:eastAsia="es-AR"/>
        </w:rPr>
        <w:t>ranitidina</w:t>
      </w:r>
      <w:proofErr w:type="spellEnd"/>
      <w:r w:rsidRPr="00930281">
        <w:rPr>
          <w:rFonts w:ascii="Times New Roman" w:eastAsia="Times New Roman" w:hAnsi="Times New Roman" w:cs="Times New Roman"/>
          <w:color w:val="000000"/>
          <w:sz w:val="20"/>
          <w:szCs w:val="20"/>
          <w:shd w:val="clear" w:color="auto" w:fill="FFFFFF"/>
          <w:lang w:eastAsia="es-AR"/>
        </w:rPr>
        <w:t xml:space="preserve"> IV, sin embargo, no se conocen aún la dosis óptima ni la vía de administración más adecuada.</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pacing w:val="40"/>
          <w:sz w:val="24"/>
          <w:szCs w:val="24"/>
          <w:u w:val="single"/>
          <w:lang w:eastAsia="es-AR"/>
        </w:rPr>
        <w:t>RANITIDINA</w:t>
      </w:r>
    </w:p>
    <w:p w:rsidR="00930281" w:rsidRPr="00930281" w:rsidRDefault="00930281" w:rsidP="00930281">
      <w:pPr>
        <w:shd w:val="clear" w:color="auto" w:fill="FFFFFF"/>
        <w:spacing w:line="360" w:lineRule="atLeast"/>
        <w:ind w:left="369" w:hanging="369"/>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b/>
          <w:bCs/>
          <w:color w:val="000000"/>
          <w:sz w:val="24"/>
          <w:szCs w:val="24"/>
          <w:lang w:val="es-ES_tradnl" w:eastAsia="es-AR"/>
        </w:rPr>
        <w:t>NOMBRE GENÉRICO: </w:t>
      </w:r>
      <w:r w:rsidRPr="00930281">
        <w:rPr>
          <w:rFonts w:ascii="Times New Roman" w:eastAsia="Times New Roman" w:hAnsi="Times New Roman" w:cs="Times New Roman"/>
          <w:color w:val="000000"/>
          <w:sz w:val="24"/>
          <w:szCs w:val="24"/>
          <w:lang w:val="es-ES_tradnl" w:eastAsia="es-AR"/>
        </w:rPr>
        <w:t xml:space="preserve">DCI: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SINÓNIMO: </w:t>
      </w:r>
      <w:proofErr w:type="spellStart"/>
      <w:r w:rsidRPr="00930281">
        <w:rPr>
          <w:rFonts w:ascii="Times New Roman" w:eastAsia="Times New Roman" w:hAnsi="Times New Roman" w:cs="Times New Roman"/>
          <w:color w:val="000000"/>
          <w:sz w:val="24"/>
          <w:szCs w:val="24"/>
          <w:lang w:val="es-ES_tradnl" w:eastAsia="es-AR"/>
        </w:rPr>
        <w:t>ranitidine</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360" w:lineRule="atLeast"/>
        <w:ind w:left="369" w:hanging="369"/>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b/>
          <w:bCs/>
          <w:color w:val="000000"/>
          <w:sz w:val="24"/>
          <w:szCs w:val="24"/>
          <w:lang w:val="es-ES_tradnl" w:eastAsia="es-AR"/>
        </w:rPr>
        <w:t>CÓDIGO ATC:</w:t>
      </w:r>
      <w:r w:rsidRPr="00930281">
        <w:rPr>
          <w:rFonts w:ascii="Times New Roman" w:eastAsia="Times New Roman" w:hAnsi="Times New Roman" w:cs="Times New Roman"/>
          <w:color w:val="000000"/>
          <w:sz w:val="24"/>
          <w:szCs w:val="24"/>
          <w:lang w:val="es-ES_tradnl" w:eastAsia="es-AR"/>
        </w:rPr>
        <w:t> </w:t>
      </w:r>
      <w:r w:rsidRPr="00930281">
        <w:rPr>
          <w:rFonts w:ascii="Times New Roman" w:eastAsia="Times New Roman" w:hAnsi="Times New Roman" w:cs="Times New Roman"/>
          <w:color w:val="000000"/>
          <w:sz w:val="24"/>
          <w:szCs w:val="24"/>
          <w:lang w:eastAsia="es-AR"/>
        </w:rPr>
        <w:t>A02BA02</w:t>
      </w:r>
    </w:p>
    <w:p w:rsidR="00930281" w:rsidRPr="00930281" w:rsidRDefault="00930281" w:rsidP="00930281">
      <w:pPr>
        <w:shd w:val="clear" w:color="auto" w:fill="FFFFFF"/>
        <w:spacing w:line="240" w:lineRule="auto"/>
        <w:ind w:left="369" w:hanging="369"/>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b/>
          <w:bCs/>
          <w:color w:val="000000"/>
          <w:sz w:val="24"/>
          <w:szCs w:val="24"/>
          <w:lang w:val="es-ES_tradnl" w:eastAsia="es-AR"/>
        </w:rPr>
        <w:t>CLASIFICACIÓN FARMACOLÓGICA:</w:t>
      </w:r>
      <w:r w:rsidRPr="00930281">
        <w:rPr>
          <w:rFonts w:ascii="Times New Roman" w:eastAsia="Times New Roman" w:hAnsi="Times New Roman" w:cs="Times New Roman"/>
          <w:color w:val="000000"/>
          <w:sz w:val="24"/>
          <w:szCs w:val="24"/>
          <w:lang w:val="es-ES_tradnl" w:eastAsia="es-AR"/>
        </w:rPr>
        <w:t xml:space="preserve"> Antagonista de los receptores H2 de la histamina, </w:t>
      </w:r>
      <w:proofErr w:type="spellStart"/>
      <w:r w:rsidRPr="00930281">
        <w:rPr>
          <w:rFonts w:ascii="Times New Roman" w:eastAsia="Times New Roman" w:hAnsi="Times New Roman" w:cs="Times New Roman"/>
          <w:color w:val="000000"/>
          <w:sz w:val="24"/>
          <w:szCs w:val="24"/>
          <w:lang w:val="es-ES_tradnl" w:eastAsia="es-AR"/>
        </w:rPr>
        <w:t>antiulceroso</w:t>
      </w:r>
      <w:proofErr w:type="spellEnd"/>
      <w:r w:rsidRPr="00930281">
        <w:rPr>
          <w:rFonts w:ascii="Times New Roman" w:eastAsia="Times New Roman" w:hAnsi="Times New Roman" w:cs="Times New Roman"/>
          <w:color w:val="000000"/>
          <w:sz w:val="24"/>
          <w:szCs w:val="24"/>
          <w:lang w:val="es-ES_tradnl" w:eastAsia="es-AR"/>
        </w:rPr>
        <w:t>, inhibidor de la secreción ácida.</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b/>
          <w:bCs/>
          <w:color w:val="000000"/>
          <w:sz w:val="24"/>
          <w:szCs w:val="24"/>
          <w:shd w:val="clear" w:color="auto" w:fill="FFFFFF"/>
          <w:lang w:val="es-ES_tradnl" w:eastAsia="es-AR"/>
        </w:rPr>
        <w:br w:type="textWrapping" w:clear="all"/>
        <w:t>MECANISMO DE ACCIÓN:  </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proofErr w:type="spellStart"/>
      <w:r w:rsidRPr="00930281">
        <w:rPr>
          <w:rFonts w:ascii="Times New Roman" w:eastAsia="Times New Roman" w:hAnsi="Times New Roman" w:cs="Times New Roman"/>
          <w:color w:val="000000"/>
          <w:sz w:val="24"/>
          <w:szCs w:val="24"/>
          <w:lang w:val="es-ES_tradnl" w:eastAsia="es-AR"/>
        </w:rPr>
        <w:t>Antiulceroso</w:t>
      </w:r>
      <w:proofErr w:type="spellEnd"/>
      <w:r w:rsidRPr="00930281">
        <w:rPr>
          <w:rFonts w:ascii="Times New Roman" w:eastAsia="Times New Roman" w:hAnsi="Times New Roman" w:cs="Times New Roman"/>
          <w:color w:val="000000"/>
          <w:sz w:val="24"/>
          <w:szCs w:val="24"/>
          <w:lang w:val="es-ES_tradnl" w:eastAsia="es-AR"/>
        </w:rPr>
        <w:t xml:space="preserve">, </w:t>
      </w:r>
      <w:proofErr w:type="spellStart"/>
      <w:r w:rsidRPr="00930281">
        <w:rPr>
          <w:rFonts w:ascii="Times New Roman" w:eastAsia="Times New Roman" w:hAnsi="Times New Roman" w:cs="Times New Roman"/>
          <w:color w:val="000000"/>
          <w:sz w:val="24"/>
          <w:szCs w:val="24"/>
          <w:lang w:val="es-ES_tradnl" w:eastAsia="es-AR"/>
        </w:rPr>
        <w:t>antisecretor</w:t>
      </w:r>
      <w:proofErr w:type="spellEnd"/>
      <w:r w:rsidRPr="00930281">
        <w:rPr>
          <w:rFonts w:ascii="Times New Roman" w:eastAsia="Times New Roman" w:hAnsi="Times New Roman" w:cs="Times New Roman"/>
          <w:color w:val="000000"/>
          <w:sz w:val="24"/>
          <w:szCs w:val="24"/>
          <w:lang w:val="es-ES_tradnl" w:eastAsia="es-AR"/>
        </w:rPr>
        <w:t xml:space="preserve"> gástrico. Derivado </w:t>
      </w:r>
      <w:proofErr w:type="spellStart"/>
      <w:r w:rsidRPr="00930281">
        <w:rPr>
          <w:rFonts w:ascii="Times New Roman" w:eastAsia="Times New Roman" w:hAnsi="Times New Roman" w:cs="Times New Roman"/>
          <w:color w:val="000000"/>
          <w:sz w:val="24"/>
          <w:szCs w:val="24"/>
          <w:lang w:val="es-ES_tradnl" w:eastAsia="es-AR"/>
        </w:rPr>
        <w:t>imidazólico</w:t>
      </w:r>
      <w:proofErr w:type="spellEnd"/>
      <w:r w:rsidRPr="00930281">
        <w:rPr>
          <w:rFonts w:ascii="Times New Roman" w:eastAsia="Times New Roman" w:hAnsi="Times New Roman" w:cs="Times New Roman"/>
          <w:color w:val="000000"/>
          <w:sz w:val="24"/>
          <w:szCs w:val="24"/>
          <w:lang w:val="es-ES_tradnl" w:eastAsia="es-AR"/>
        </w:rPr>
        <w:t xml:space="preserve"> y </w:t>
      </w:r>
      <w:proofErr w:type="spellStart"/>
      <w:r w:rsidRPr="00930281">
        <w:rPr>
          <w:rFonts w:ascii="Times New Roman" w:eastAsia="Times New Roman" w:hAnsi="Times New Roman" w:cs="Times New Roman"/>
          <w:color w:val="000000"/>
          <w:sz w:val="24"/>
          <w:szCs w:val="24"/>
          <w:lang w:val="es-ES_tradnl" w:eastAsia="es-AR"/>
        </w:rPr>
        <w:t>cianoguanidínico</w:t>
      </w:r>
      <w:proofErr w:type="spellEnd"/>
      <w:r w:rsidRPr="00930281">
        <w:rPr>
          <w:rFonts w:ascii="Times New Roman" w:eastAsia="Times New Roman" w:hAnsi="Times New Roman" w:cs="Times New Roman"/>
          <w:color w:val="000000"/>
          <w:sz w:val="24"/>
          <w:szCs w:val="24"/>
          <w:lang w:val="es-ES_tradnl" w:eastAsia="es-AR"/>
        </w:rPr>
        <w:t>. Actúa reduciendo la secreción ácida gástrica inducida por histamina, tanto la estimulada como la basal, mediante el bloqueo selectivo de los receptores H2 de la histamina en las células parietales gástricas.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Es un inhibidor débil del citocromo P-450 hepático.</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b/>
          <w:bCs/>
          <w:color w:val="000000"/>
          <w:sz w:val="24"/>
          <w:szCs w:val="24"/>
          <w:shd w:val="clear" w:color="auto" w:fill="FFFFFF"/>
          <w:lang w:val="es-ES_tradnl" w:eastAsia="es-AR"/>
        </w:rPr>
        <w:lastRenderedPageBreak/>
        <w:br w:type="textWrapping" w:clear="all"/>
        <w:t>INDICACIONES TERAPÉUTICAS: </w:t>
      </w:r>
      <w:r w:rsidRPr="00930281">
        <w:rPr>
          <w:rFonts w:ascii="Times New Roman" w:eastAsia="Times New Roman" w:hAnsi="Times New Roman" w:cs="Times New Roman"/>
          <w:color w:val="000000"/>
          <w:sz w:val="24"/>
          <w:szCs w:val="24"/>
          <w:shd w:val="clear" w:color="auto" w:fill="FFFFFF"/>
          <w:lang w:val="es-ES_tradnl" w:eastAsia="es-AR"/>
        </w:rPr>
        <w:t> </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Úlcera duodenal, (profilaxis y tratamiento), úlcera gástrica benigna, síndrome de </w:t>
      </w:r>
      <w:proofErr w:type="spellStart"/>
      <w:r w:rsidRPr="00930281">
        <w:rPr>
          <w:rFonts w:ascii="Times New Roman" w:eastAsia="Times New Roman" w:hAnsi="Times New Roman" w:cs="Times New Roman"/>
          <w:color w:val="000000"/>
          <w:sz w:val="24"/>
          <w:szCs w:val="24"/>
          <w:lang w:val="es-ES_tradnl" w:eastAsia="es-AR"/>
        </w:rPr>
        <w:t>Zollinger-Ellison</w:t>
      </w:r>
      <w:proofErr w:type="spellEnd"/>
      <w:r w:rsidRPr="00930281">
        <w:rPr>
          <w:rFonts w:ascii="Times New Roman" w:eastAsia="Times New Roman" w:hAnsi="Times New Roman" w:cs="Times New Roman"/>
          <w:color w:val="000000"/>
          <w:sz w:val="24"/>
          <w:szCs w:val="24"/>
          <w:lang w:val="es-ES_tradnl" w:eastAsia="es-AR"/>
        </w:rPr>
        <w:t xml:space="preserve">, hemorragias esofágicas y gástricas con hipersecreción, esofagitis péptica y tratamiento de los síntomas asociados, </w:t>
      </w:r>
      <w:proofErr w:type="spellStart"/>
      <w:r w:rsidRPr="00930281">
        <w:rPr>
          <w:rFonts w:ascii="Times New Roman" w:eastAsia="Times New Roman" w:hAnsi="Times New Roman" w:cs="Times New Roman"/>
          <w:color w:val="000000"/>
          <w:sz w:val="24"/>
          <w:szCs w:val="24"/>
          <w:lang w:val="es-ES_tradnl" w:eastAsia="es-AR"/>
        </w:rPr>
        <w:t>mastocitosis</w:t>
      </w:r>
      <w:proofErr w:type="spellEnd"/>
      <w:r w:rsidRPr="00930281">
        <w:rPr>
          <w:rFonts w:ascii="Times New Roman" w:eastAsia="Times New Roman" w:hAnsi="Times New Roman" w:cs="Times New Roman"/>
          <w:color w:val="000000"/>
          <w:sz w:val="24"/>
          <w:szCs w:val="24"/>
          <w:lang w:val="es-ES_tradnl" w:eastAsia="es-AR"/>
        </w:rPr>
        <w:t xml:space="preserve"> sistémica, adenoma endócrino múltiple, artritis </w:t>
      </w:r>
      <w:proofErr w:type="spellStart"/>
      <w:r w:rsidRPr="00930281">
        <w:rPr>
          <w:rFonts w:ascii="Times New Roman" w:eastAsia="Times New Roman" w:hAnsi="Times New Roman" w:cs="Times New Roman"/>
          <w:color w:val="000000"/>
          <w:sz w:val="24"/>
          <w:szCs w:val="24"/>
          <w:lang w:val="es-ES_tradnl" w:eastAsia="es-AR"/>
        </w:rPr>
        <w:t>reumatoidea</w:t>
      </w:r>
      <w:proofErr w:type="spellEnd"/>
      <w:r w:rsidRPr="00930281">
        <w:rPr>
          <w:rFonts w:ascii="Times New Roman" w:eastAsia="Times New Roman" w:hAnsi="Times New Roman" w:cs="Times New Roman"/>
          <w:color w:val="000000"/>
          <w:sz w:val="24"/>
          <w:szCs w:val="24"/>
          <w:lang w:val="es-ES_tradnl" w:eastAsia="es-AR"/>
        </w:rPr>
        <w:t xml:space="preserve"> (se utiliza para aliviar los síntomas gastrointestinales asociados al uso de </w:t>
      </w:r>
      <w:proofErr w:type="spellStart"/>
      <w:r w:rsidRPr="00930281">
        <w:rPr>
          <w:rFonts w:ascii="Times New Roman" w:eastAsia="Times New Roman" w:hAnsi="Times New Roman" w:cs="Times New Roman"/>
          <w:color w:val="000000"/>
          <w:sz w:val="24"/>
          <w:szCs w:val="24"/>
          <w:lang w:val="es-ES_tradnl" w:eastAsia="es-AR"/>
        </w:rPr>
        <w:t>AINEs</w:t>
      </w:r>
      <w:proofErr w:type="spellEnd"/>
      <w:r w:rsidRPr="00930281">
        <w:rPr>
          <w:rFonts w:ascii="Times New Roman" w:eastAsia="Times New Roman" w:hAnsi="Times New Roman" w:cs="Times New Roman"/>
          <w:color w:val="000000"/>
          <w:sz w:val="24"/>
          <w:szCs w:val="24"/>
          <w:lang w:val="es-ES_tradnl" w:eastAsia="es-AR"/>
        </w:rPr>
        <w:t xml:space="preserve"> de la artritis </w:t>
      </w:r>
      <w:proofErr w:type="spellStart"/>
      <w:r w:rsidRPr="00930281">
        <w:rPr>
          <w:rFonts w:ascii="Times New Roman" w:eastAsia="Times New Roman" w:hAnsi="Times New Roman" w:cs="Times New Roman"/>
          <w:color w:val="000000"/>
          <w:sz w:val="24"/>
          <w:szCs w:val="24"/>
          <w:lang w:val="es-ES_tradnl" w:eastAsia="es-AR"/>
        </w:rPr>
        <w:t>reumartoidea</w:t>
      </w:r>
      <w:proofErr w:type="spellEnd"/>
      <w:r w:rsidRPr="00930281">
        <w:rPr>
          <w:rFonts w:ascii="Times New Roman" w:eastAsia="Times New Roman" w:hAnsi="Times New Roman" w:cs="Times New Roman"/>
          <w:color w:val="000000"/>
          <w:sz w:val="24"/>
          <w:szCs w:val="24"/>
          <w:lang w:val="es-ES_tradnl" w:eastAsia="es-AR"/>
        </w:rPr>
        <w:t>). Profilaxis de la hemorragia recurrente en pacientes con úlcera sangrante, </w:t>
      </w:r>
      <w:r w:rsidRPr="00930281">
        <w:rPr>
          <w:rFonts w:ascii="Times New Roman" w:eastAsia="Times New Roman" w:hAnsi="Times New Roman" w:cs="Times New Roman"/>
          <w:b/>
          <w:bCs/>
          <w:color w:val="000000"/>
          <w:sz w:val="24"/>
          <w:szCs w:val="24"/>
          <w:lang w:val="es-ES_tradnl" w:eastAsia="es-AR"/>
        </w:rPr>
        <w:t>profilaxis de hemorragia gastrointestinal debida a úlcera de estrés en enfermos graves.</w:t>
      </w:r>
      <w:r w:rsidRPr="00930281">
        <w:rPr>
          <w:rFonts w:ascii="Times New Roman" w:eastAsia="Times New Roman" w:hAnsi="Times New Roman" w:cs="Times New Roman"/>
          <w:color w:val="000000"/>
          <w:sz w:val="24"/>
          <w:szCs w:val="24"/>
          <w:lang w:val="es-ES_tradnl" w:eastAsia="es-AR"/>
        </w:rPr>
        <w:t xml:space="preserve"> En preoperatorio para prevenir la aspiración ácida (síndrome de </w:t>
      </w:r>
      <w:proofErr w:type="spellStart"/>
      <w:r w:rsidRPr="00930281">
        <w:rPr>
          <w:rFonts w:ascii="Times New Roman" w:eastAsia="Times New Roman" w:hAnsi="Times New Roman" w:cs="Times New Roman"/>
          <w:color w:val="000000"/>
          <w:sz w:val="24"/>
          <w:szCs w:val="24"/>
          <w:lang w:val="es-ES_tradnl" w:eastAsia="es-AR"/>
        </w:rPr>
        <w:t>Mendelson</w:t>
      </w:r>
      <w:proofErr w:type="spellEnd"/>
      <w:r w:rsidRPr="00930281">
        <w:rPr>
          <w:rFonts w:ascii="Times New Roman" w:eastAsia="Times New Roman" w:hAnsi="Times New Roman" w:cs="Times New Roman"/>
          <w:color w:val="000000"/>
          <w:sz w:val="24"/>
          <w:szCs w:val="24"/>
          <w:lang w:val="es-ES_tradnl" w:eastAsia="es-AR"/>
        </w:rPr>
        <w:t>), especialmente en pacientes obstétricos durante el parto. Síndrome de intestino corto (anastomosis).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Se ha utilizado también en el tratamiento de dispepsia, vaciado y distensión gastrointestinal en pacientes con fibrosis quística.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Hay reportes que muestran mejoramiento en pacientes con psoriasis luego de la administración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b/>
          <w:bCs/>
          <w:color w:val="000000"/>
          <w:sz w:val="24"/>
          <w:szCs w:val="24"/>
          <w:shd w:val="clear" w:color="auto" w:fill="FFFFFF"/>
          <w:lang w:val="es-ES_tradnl" w:eastAsia="es-AR"/>
        </w:rPr>
        <w:br w:type="textWrapping" w:clear="all"/>
      </w:r>
      <w:proofErr w:type="gramStart"/>
      <w:r w:rsidRPr="00930281">
        <w:rPr>
          <w:rFonts w:ascii="Times New Roman" w:eastAsia="Times New Roman" w:hAnsi="Times New Roman" w:cs="Times New Roman"/>
          <w:b/>
          <w:bCs/>
          <w:color w:val="000000"/>
          <w:sz w:val="24"/>
          <w:szCs w:val="24"/>
          <w:shd w:val="clear" w:color="auto" w:fill="FFFFFF"/>
          <w:lang w:val="es-ES_tradnl" w:eastAsia="es-AR"/>
        </w:rPr>
        <w:t>DOSIS :</w:t>
      </w:r>
      <w:proofErr w:type="gramEnd"/>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u w:val="single"/>
          <w:lang w:val="es-ES_tradnl" w:eastAsia="es-AR"/>
        </w:rPr>
        <w:t>Adultos</w:t>
      </w:r>
      <w:r w:rsidRPr="00930281">
        <w:rPr>
          <w:rFonts w:ascii="Times New Roman" w:eastAsia="Times New Roman" w:hAnsi="Times New Roman" w:cs="Times New Roman"/>
          <w:color w:val="000000"/>
          <w:sz w:val="24"/>
          <w:szCs w:val="24"/>
          <w:lang w:val="es-ES_tradnl" w:eastAsia="es-AR"/>
        </w:rPr>
        <w:t> - </w:t>
      </w:r>
      <w:r w:rsidRPr="00930281">
        <w:rPr>
          <w:rFonts w:ascii="Times New Roman" w:eastAsia="Times New Roman" w:hAnsi="Times New Roman" w:cs="Times New Roman"/>
          <w:color w:val="000000"/>
          <w:sz w:val="24"/>
          <w:szCs w:val="24"/>
          <w:u w:val="single"/>
          <w:lang w:val="es-ES_tradnl" w:eastAsia="es-AR"/>
        </w:rPr>
        <w:t>Oral:</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sz w:val="24"/>
          <w:szCs w:val="24"/>
          <w:lang w:val="es-ES_tradnl" w:eastAsia="es-AR"/>
        </w:rPr>
        <w:t></w:t>
      </w:r>
      <w:r w:rsidRPr="00930281">
        <w:rPr>
          <w:rFonts w:ascii="Times New Roman" w:eastAsia="Times New Roman" w:hAnsi="Times New Roman" w:cs="Times New Roman"/>
          <w:color w:val="000000"/>
          <w:sz w:val="14"/>
          <w:szCs w:val="14"/>
          <w:lang w:val="es-ES_tradnl" w:eastAsia="es-AR"/>
        </w:rPr>
        <w:t>        </w:t>
      </w:r>
      <w:proofErr w:type="gramStart"/>
      <w:r w:rsidRPr="00930281">
        <w:rPr>
          <w:rFonts w:ascii="Times New Roman" w:eastAsia="Times New Roman" w:hAnsi="Times New Roman" w:cs="Times New Roman"/>
          <w:color w:val="000000"/>
          <w:sz w:val="24"/>
          <w:szCs w:val="24"/>
          <w:lang w:val="es-ES_tradnl" w:eastAsia="es-AR"/>
        </w:rPr>
        <w:t>profilaxis</w:t>
      </w:r>
      <w:proofErr w:type="gramEnd"/>
      <w:r w:rsidRPr="00930281">
        <w:rPr>
          <w:rFonts w:ascii="Times New Roman" w:eastAsia="Times New Roman" w:hAnsi="Times New Roman" w:cs="Times New Roman"/>
          <w:color w:val="000000"/>
          <w:sz w:val="24"/>
          <w:szCs w:val="24"/>
          <w:lang w:val="es-ES_tradnl" w:eastAsia="es-AR"/>
        </w:rPr>
        <w:t xml:space="preserve"> de la hemorragia por úlcera de estrés, en enfermos graves: 150mg 2 veces al día.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u w:val="single"/>
          <w:lang w:val="es-ES_tradnl" w:eastAsia="es-AR"/>
        </w:rPr>
        <w:t>Intravenosa</w:t>
      </w:r>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Normas para la correcta administración: IV lenta, diluir 50mg en 20 ml; infusión intermitente, pasar 25mg/h durante 2hs, esta operación puede repetirse cada 6/8hs.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sz w:val="24"/>
          <w:szCs w:val="24"/>
          <w:lang w:val="es-ES_tradnl" w:eastAsia="es-AR"/>
        </w:rPr>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profilaxis de la hemorragia por úlcera de estrés, en enfermos graves: 50mg (IV lenta) seguida de 0,125-0,250mg/kg/h (IV infusión continua), teniendo como objetivo mantener el pH gástrico por encima de 4.</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u w:val="single"/>
          <w:lang w:val="es-ES_tradnl" w:eastAsia="es-AR"/>
        </w:rPr>
        <w:t>Intramuscular</w:t>
      </w:r>
      <w:r w:rsidRPr="00930281">
        <w:rPr>
          <w:rFonts w:ascii="Times New Roman" w:eastAsia="Times New Roman" w:hAnsi="Times New Roman" w:cs="Times New Roman"/>
          <w:color w:val="000000"/>
          <w:sz w:val="24"/>
          <w:szCs w:val="24"/>
          <w:lang w:val="es-ES_tradnl" w:eastAsia="es-AR"/>
        </w:rPr>
        <w:t>: 50mg/6-8hs.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b/>
          <w:bCs/>
          <w:color w:val="000000"/>
          <w:sz w:val="24"/>
          <w:szCs w:val="24"/>
          <w:lang w:val="es-ES_tradnl" w:eastAsia="es-AR"/>
        </w:rPr>
        <w:t>Nota</w:t>
      </w:r>
      <w:r w:rsidRPr="00930281">
        <w:rPr>
          <w:rFonts w:ascii="Times New Roman" w:eastAsia="Times New Roman" w:hAnsi="Times New Roman" w:cs="Times New Roman"/>
          <w:color w:val="000000"/>
          <w:sz w:val="24"/>
          <w:szCs w:val="24"/>
          <w:lang w:val="es-ES_tradnl" w:eastAsia="es-AR"/>
        </w:rPr>
        <w:t>: en pacientes con disfunción renal (aclaramiento de creatinina inferior a 50ml/min): 150mg/24hs aumentando la dosis a 150mg/12hs o con mayor frecuencia si es necesario. Puede ser necesario reducir aún más la dosificación si existiese disfunción hepática.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Dosis Máximas en Adultos: 400mg/día.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u w:val="single"/>
          <w:lang w:val="es-ES_tradnl" w:eastAsia="es-AR"/>
        </w:rPr>
        <w:t>Niños: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sz w:val="24"/>
          <w:szCs w:val="24"/>
          <w:lang w:val="es-ES_tradnl" w:eastAsia="es-AR"/>
        </w:rPr>
        <w:lastRenderedPageBreak/>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 xml:space="preserve">1-6mg/kg/día cada 6-8 </w:t>
      </w:r>
      <w:proofErr w:type="spellStart"/>
      <w:r w:rsidRPr="00930281">
        <w:rPr>
          <w:rFonts w:ascii="Times New Roman" w:eastAsia="Times New Roman" w:hAnsi="Times New Roman" w:cs="Times New Roman"/>
          <w:color w:val="000000"/>
          <w:sz w:val="24"/>
          <w:szCs w:val="24"/>
          <w:lang w:val="es-ES_tradnl" w:eastAsia="es-AR"/>
        </w:rPr>
        <w:t>hs</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jc w:val="left"/>
        <w:rPr>
          <w:rFonts w:ascii="Times New Roman" w:eastAsia="Times New Roman" w:hAnsi="Times New Roman" w:cs="Times New Roman"/>
          <w:color w:val="000000"/>
          <w:sz w:val="27"/>
          <w:szCs w:val="27"/>
          <w:lang w:eastAsia="es-AR"/>
        </w:rPr>
      </w:pPr>
      <w:r w:rsidRPr="00930281">
        <w:rPr>
          <w:rFonts w:ascii="Symbol" w:eastAsia="Times New Roman" w:hAnsi="Symbol" w:cs="Times New Roman"/>
          <w:color w:val="000000"/>
          <w:sz w:val="24"/>
          <w:szCs w:val="24"/>
          <w:lang w:val="es-ES_tradnl" w:eastAsia="es-AR"/>
        </w:rPr>
        <w:t></w:t>
      </w:r>
      <w:r w:rsidRPr="00930281">
        <w:rPr>
          <w:rFonts w:ascii="Times New Roman" w:eastAsia="Times New Roman" w:hAnsi="Times New Roman" w:cs="Times New Roman"/>
          <w:color w:val="000000"/>
          <w:sz w:val="14"/>
          <w:szCs w:val="14"/>
          <w:lang w:val="es-ES_tradnl" w:eastAsia="es-AR"/>
        </w:rPr>
        <w:t>        </w:t>
      </w:r>
      <w:proofErr w:type="gramStart"/>
      <w:r w:rsidRPr="00930281">
        <w:rPr>
          <w:rFonts w:ascii="Times New Roman" w:eastAsia="Times New Roman" w:hAnsi="Times New Roman" w:cs="Times New Roman"/>
          <w:color w:val="000000"/>
          <w:sz w:val="24"/>
          <w:szCs w:val="24"/>
          <w:lang w:val="es-ES_tradnl" w:eastAsia="es-AR"/>
        </w:rPr>
        <w:t>sangrado</w:t>
      </w:r>
      <w:proofErr w:type="gramEnd"/>
      <w:r w:rsidRPr="00930281">
        <w:rPr>
          <w:rFonts w:ascii="Times New Roman" w:eastAsia="Times New Roman" w:hAnsi="Times New Roman" w:cs="Times New Roman"/>
          <w:color w:val="000000"/>
          <w:sz w:val="24"/>
          <w:szCs w:val="24"/>
          <w:lang w:val="es-ES_tradnl" w:eastAsia="es-AR"/>
        </w:rPr>
        <w:t xml:space="preserve"> gastrointestinal severo: 200mcg/kg/h administrado por vía IV durante 37hs controla el sangrado gastrointestinal severo en prematuros, pero esta dosis fue considerada excesiva luego de la acumulación ocurrida con concentraciones plasmáticas de 1390ng/ml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7hs después de terminada la infusión. En otros estudios en niños prematuros que recibieron dexametasona por displasia broncopulmonar se encontró que una infusión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en dosis de 62,5mcg/kg/h fue suficiente para aumentar y mantener el pH alrededor de 4 para ayudar a la protección de la perforación y el sangrado gastrointestinal.</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b/>
          <w:bCs/>
          <w:color w:val="000000"/>
          <w:sz w:val="24"/>
          <w:szCs w:val="24"/>
          <w:lang w:val="es-ES_tradnl" w:eastAsia="es-AR"/>
        </w:rPr>
        <w:t>Nota</w:t>
      </w:r>
      <w:r w:rsidRPr="00930281">
        <w:rPr>
          <w:rFonts w:ascii="Times New Roman" w:eastAsia="Times New Roman" w:hAnsi="Times New Roman" w:cs="Times New Roman"/>
          <w:color w:val="000000"/>
          <w:sz w:val="24"/>
          <w:szCs w:val="24"/>
          <w:lang w:val="es-ES_tradnl" w:eastAsia="es-AR"/>
        </w:rPr>
        <w:t>: Insuficiencia renal: reducir la dosis de acuerdo al esquema siguiente: aclaramiento de creatinina menor de 10ml/min: 50% de la dosis habitual. Entre 10-50ml/min: 75% de la dosis habitual. Aclaramiento superior a 50ml/min: dosis normales.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En pacientes con diálisis peritoneal o hemodiálisis, la dosis usual es de 150mg inmediatamente después de la diálisis.</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color w:val="000000"/>
          <w:sz w:val="24"/>
          <w:szCs w:val="24"/>
          <w:shd w:val="clear" w:color="auto" w:fill="FFFFFF"/>
          <w:lang w:val="es-ES_tradnl" w:eastAsia="es-AR"/>
        </w:rPr>
        <w:br w:type="textWrapping" w:clear="all"/>
      </w:r>
      <w:r w:rsidRPr="00930281">
        <w:rPr>
          <w:rFonts w:ascii="Times New Roman" w:eastAsia="Times New Roman" w:hAnsi="Times New Roman" w:cs="Times New Roman"/>
          <w:b/>
          <w:bCs/>
          <w:color w:val="000000"/>
          <w:sz w:val="24"/>
          <w:szCs w:val="24"/>
          <w:shd w:val="clear" w:color="auto" w:fill="FFFFFF"/>
          <w:lang w:val="es-ES_tradnl" w:eastAsia="es-AR"/>
        </w:rPr>
        <w:t>SOLUCIONES COMPATIBLES:</w:t>
      </w:r>
    </w:p>
    <w:p w:rsidR="00930281" w:rsidRPr="00930281" w:rsidRDefault="00930281" w:rsidP="00930281">
      <w:pPr>
        <w:shd w:val="clear" w:color="auto" w:fill="FFFFFF"/>
        <w:spacing w:line="240" w:lineRule="auto"/>
        <w:ind w:left="340" w:firstLine="0"/>
        <w:jc w:val="left"/>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La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es compatible con las siguientes soluciones para infusión: cloruro de sodio al 0,9% y al 0,18%, glucosa al 5% y 10%, </w:t>
      </w:r>
      <w:proofErr w:type="spellStart"/>
      <w:r w:rsidRPr="00930281">
        <w:rPr>
          <w:rFonts w:ascii="Times New Roman" w:eastAsia="Times New Roman" w:hAnsi="Times New Roman" w:cs="Times New Roman"/>
          <w:color w:val="000000"/>
          <w:sz w:val="24"/>
          <w:szCs w:val="24"/>
          <w:lang w:val="es-ES_tradnl" w:eastAsia="es-AR"/>
        </w:rPr>
        <w:t>Ringer</w:t>
      </w:r>
      <w:proofErr w:type="spellEnd"/>
      <w:r w:rsidRPr="00930281">
        <w:rPr>
          <w:rFonts w:ascii="Times New Roman" w:eastAsia="Times New Roman" w:hAnsi="Times New Roman" w:cs="Times New Roman"/>
          <w:color w:val="000000"/>
          <w:sz w:val="24"/>
          <w:szCs w:val="24"/>
          <w:lang w:val="es-ES_tradnl" w:eastAsia="es-AR"/>
        </w:rPr>
        <w:t>-Lactato, bicarbonato sódico al 4,2%.</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color w:val="000000"/>
          <w:sz w:val="24"/>
          <w:szCs w:val="24"/>
          <w:shd w:val="clear" w:color="auto" w:fill="FFFFFF"/>
          <w:lang w:val="es-ES_tradnl" w:eastAsia="es-AR"/>
        </w:rPr>
        <w:br w:type="textWrapping" w:clear="all"/>
      </w:r>
      <w:r w:rsidRPr="00930281">
        <w:rPr>
          <w:rFonts w:ascii="Times New Roman" w:eastAsia="Times New Roman" w:hAnsi="Times New Roman" w:cs="Times New Roman"/>
          <w:color w:val="000000"/>
          <w:sz w:val="14"/>
          <w:szCs w:val="14"/>
          <w:shd w:val="clear" w:color="auto" w:fill="FFFFFF"/>
          <w:lang w:val="es-ES_tradnl" w:eastAsia="es-AR"/>
        </w:rPr>
        <w:t>  </w:t>
      </w:r>
      <w:r w:rsidRPr="00930281">
        <w:rPr>
          <w:rFonts w:ascii="Times New Roman" w:eastAsia="Times New Roman" w:hAnsi="Times New Roman" w:cs="Times New Roman"/>
          <w:b/>
          <w:bCs/>
          <w:color w:val="000000"/>
          <w:sz w:val="24"/>
          <w:szCs w:val="24"/>
          <w:shd w:val="clear" w:color="auto" w:fill="FFFFFF"/>
          <w:lang w:val="es-ES_tradnl" w:eastAsia="es-AR"/>
        </w:rPr>
        <w:t>ENVASADO Y ALMACENAMIENTO: </w:t>
      </w:r>
      <w:r w:rsidRPr="00930281">
        <w:rPr>
          <w:rFonts w:ascii="Times New Roman" w:eastAsia="Times New Roman" w:hAnsi="Times New Roman" w:cs="Times New Roman"/>
          <w:color w:val="000000"/>
          <w:sz w:val="24"/>
          <w:szCs w:val="24"/>
          <w:shd w:val="clear" w:color="auto" w:fill="FFFFFF"/>
          <w:lang w:val="es-ES_tradnl" w:eastAsia="es-AR"/>
        </w:rPr>
        <w:br w:type="textWrapping" w:clear="all"/>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sz w:val="24"/>
          <w:szCs w:val="24"/>
          <w:lang w:val="es-ES_tradnl" w:eastAsia="es-AR"/>
        </w:rPr>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 xml:space="preserve">Cápsulas y comprimidos: mantener entre 15 y 30ºC a menos que el fabricante lo especifique de otra manera. Conservar en envases </w:t>
      </w:r>
      <w:proofErr w:type="spellStart"/>
      <w:r w:rsidRPr="00930281">
        <w:rPr>
          <w:rFonts w:ascii="Times New Roman" w:eastAsia="Times New Roman" w:hAnsi="Times New Roman" w:cs="Times New Roman"/>
          <w:color w:val="000000"/>
          <w:sz w:val="24"/>
          <w:szCs w:val="24"/>
          <w:lang w:val="es-ES_tradnl" w:eastAsia="es-AR"/>
        </w:rPr>
        <w:t>fotoprotectores</w:t>
      </w:r>
      <w:proofErr w:type="spellEnd"/>
      <w:r w:rsidRPr="00930281">
        <w:rPr>
          <w:rFonts w:ascii="Times New Roman" w:eastAsia="Times New Roman" w:hAnsi="Times New Roman" w:cs="Times New Roman"/>
          <w:color w:val="000000"/>
          <w:sz w:val="24"/>
          <w:szCs w:val="24"/>
          <w:lang w:val="es-ES_tradnl" w:eastAsia="es-AR"/>
        </w:rPr>
        <w:t xml:space="preserve"> de cierre ajustado.</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sz w:val="24"/>
          <w:szCs w:val="24"/>
          <w:lang w:val="es-ES_tradnl" w:eastAsia="es-AR"/>
        </w:rPr>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 xml:space="preserve">Jarabe: mantener entre 4 y 25ºC en envases </w:t>
      </w:r>
      <w:proofErr w:type="spellStart"/>
      <w:r w:rsidRPr="00930281">
        <w:rPr>
          <w:rFonts w:ascii="Times New Roman" w:eastAsia="Times New Roman" w:hAnsi="Times New Roman" w:cs="Times New Roman"/>
          <w:color w:val="000000"/>
          <w:sz w:val="24"/>
          <w:szCs w:val="24"/>
          <w:lang w:val="es-ES_tradnl" w:eastAsia="es-AR"/>
        </w:rPr>
        <w:t>fotoprotectores</w:t>
      </w:r>
      <w:proofErr w:type="spellEnd"/>
      <w:r w:rsidRPr="00930281">
        <w:rPr>
          <w:rFonts w:ascii="Times New Roman" w:eastAsia="Times New Roman" w:hAnsi="Times New Roman" w:cs="Times New Roman"/>
          <w:color w:val="000000"/>
          <w:sz w:val="24"/>
          <w:szCs w:val="24"/>
          <w:lang w:val="es-ES_tradnl" w:eastAsia="es-AR"/>
        </w:rPr>
        <w:t xml:space="preserve"> con cierre ajustado, a menos que el fabricante lo especifique de otra manera. Evitar la congelación.</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sz w:val="24"/>
          <w:szCs w:val="24"/>
          <w:lang w:val="es-ES_tradnl" w:eastAsia="es-AR"/>
        </w:rPr>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Inyectables: mantener por debajo de 30ºC a menos que el fabricante lo especifique de otra manera. Proteger de la luz y evitar la congelación</w:t>
      </w:r>
      <w:r w:rsidRPr="00930281">
        <w:rPr>
          <w:rFonts w:ascii="Times New Roman" w:eastAsia="Times New Roman" w:hAnsi="Times New Roman" w:cs="Times New Roman"/>
          <w:b/>
          <w:bCs/>
          <w:color w:val="000000"/>
          <w:sz w:val="24"/>
          <w:szCs w:val="24"/>
          <w:lang w:val="es-ES_tradnl" w:eastAsia="es-AR"/>
        </w:rPr>
        <w:t>. </w:t>
      </w:r>
      <w:r w:rsidRPr="00930281">
        <w:rPr>
          <w:rFonts w:ascii="Times New Roman" w:eastAsia="Times New Roman" w:hAnsi="Times New Roman" w:cs="Times New Roman"/>
          <w:color w:val="000000"/>
          <w:sz w:val="24"/>
          <w:szCs w:val="24"/>
          <w:lang w:val="es-ES_tradnl" w:eastAsia="es-AR"/>
        </w:rPr>
        <w:t>Una vez abierto el vial es estable 24hs.</w:t>
      </w:r>
      <w:r w:rsidRPr="00930281">
        <w:rPr>
          <w:rFonts w:ascii="Times New Roman" w:eastAsia="Times New Roman" w:hAnsi="Times New Roman" w:cs="Times New Roman"/>
          <w:b/>
          <w:bCs/>
          <w:color w:val="000000"/>
          <w:sz w:val="24"/>
          <w:szCs w:val="24"/>
          <w:lang w:val="es-ES_tradnl" w:eastAsia="es-AR"/>
        </w:rPr>
        <w:t> </w:t>
      </w:r>
      <w:r w:rsidRPr="00930281">
        <w:rPr>
          <w:rFonts w:ascii="Times New Roman" w:eastAsia="Times New Roman" w:hAnsi="Times New Roman" w:cs="Times New Roman"/>
          <w:color w:val="000000"/>
          <w:sz w:val="24"/>
          <w:szCs w:val="24"/>
          <w:lang w:val="es-ES_tradnl" w:eastAsia="es-AR"/>
        </w:rPr>
        <w:t>Las mezclas para infusión no utilizadas deben ser desechadas a las 24hs de su preparación. El inyectable no debe utilizarse si ha cambiado de color o contiene precipitados.</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b/>
          <w:bCs/>
          <w:color w:val="000000"/>
          <w:sz w:val="24"/>
          <w:szCs w:val="24"/>
          <w:shd w:val="clear" w:color="auto" w:fill="FFFFFF"/>
          <w:lang w:val="es-ES_tradnl" w:eastAsia="es-AR"/>
        </w:rPr>
        <w:br w:type="textWrapping" w:clear="all"/>
        <w:t>BIODISPONIBILIDAD Y FARMACOCINÉTICA: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Vía (oral, IM, IV): la biodisponibilidad oral es del 50% (debido al metabolismo del primer paso), 90-100% IM. El tiempo hasta alcanzar la concentración máxima: 2-3hs, oral, y 15 minutos, IM. La presencia de alimentos o antiácidos no altera significativamente la absorción. El tiempo preciso para que aparezca la acción por vía oral es de 1 hora y la duración de la misma es de 4-6 </w:t>
      </w:r>
      <w:proofErr w:type="spellStart"/>
      <w:r w:rsidRPr="00930281">
        <w:rPr>
          <w:rFonts w:ascii="Times New Roman" w:eastAsia="Times New Roman" w:hAnsi="Times New Roman" w:cs="Times New Roman"/>
          <w:color w:val="000000"/>
          <w:sz w:val="24"/>
          <w:szCs w:val="24"/>
          <w:lang w:val="es-ES_tradnl" w:eastAsia="es-AR"/>
        </w:rPr>
        <w:t>hs</w:t>
      </w:r>
      <w:proofErr w:type="spellEnd"/>
      <w:r w:rsidRPr="00930281">
        <w:rPr>
          <w:rFonts w:ascii="Times New Roman" w:eastAsia="Times New Roman" w:hAnsi="Times New Roman" w:cs="Times New Roman"/>
          <w:color w:val="000000"/>
          <w:sz w:val="24"/>
          <w:szCs w:val="24"/>
          <w:lang w:val="es-ES_tradnl" w:eastAsia="es-AR"/>
        </w:rPr>
        <w:t xml:space="preserve">. El grado de unión a </w:t>
      </w:r>
      <w:r w:rsidRPr="00930281">
        <w:rPr>
          <w:rFonts w:ascii="Times New Roman" w:eastAsia="Times New Roman" w:hAnsi="Times New Roman" w:cs="Times New Roman"/>
          <w:color w:val="000000"/>
          <w:sz w:val="24"/>
          <w:szCs w:val="24"/>
          <w:lang w:val="es-ES_tradnl" w:eastAsia="es-AR"/>
        </w:rPr>
        <w:lastRenderedPageBreak/>
        <w:t xml:space="preserve">proteínas plasmáticas es del 15%. El volumen de distribución de la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es entre 1,2-1,9 l/kg, en pacientes de 3 a 16 años, el volumen de distribución reportado es entre 2,3-2,5 l/kg. Es metabolizada en el hígado a n-óxido, s-óxido y </w:t>
      </w:r>
      <w:proofErr w:type="spellStart"/>
      <w:r w:rsidRPr="00930281">
        <w:rPr>
          <w:rFonts w:ascii="Times New Roman" w:eastAsia="Times New Roman" w:hAnsi="Times New Roman" w:cs="Times New Roman"/>
          <w:color w:val="000000"/>
          <w:sz w:val="24"/>
          <w:szCs w:val="24"/>
          <w:lang w:val="es-ES_tradnl" w:eastAsia="es-AR"/>
        </w:rPr>
        <w:t>desmetilranitidina</w:t>
      </w:r>
      <w:proofErr w:type="spellEnd"/>
      <w:r w:rsidRPr="00930281">
        <w:rPr>
          <w:rFonts w:ascii="Times New Roman" w:eastAsia="Times New Roman" w:hAnsi="Times New Roman" w:cs="Times New Roman"/>
          <w:color w:val="000000"/>
          <w:sz w:val="24"/>
          <w:szCs w:val="24"/>
          <w:lang w:val="es-ES_tradnl" w:eastAsia="es-AR"/>
        </w:rPr>
        <w:t>, siendo su principal metabolito el n-óxido que aparece en orina en una proporción de 4%. Se excreta por la orina en forma inalterada por transporte activo en 24hs (70% IV, 30% oral), parte se elimina con las heces. Su semivida de eliminación es de 2-3hs (oral e IV). En insuficiencia renal la semivida de eliminación es de 4-5hs y en casos graves puede llegar hasta 9hs. Con la inyección IV en bolo puede producirse un pequeño aumento transitorio de la concentración de prolactina.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Se distribuye en leche materna y en líquido cefalorraquídeo.</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b/>
          <w:bCs/>
          <w:color w:val="000000"/>
          <w:sz w:val="24"/>
          <w:szCs w:val="24"/>
          <w:shd w:val="clear" w:color="auto" w:fill="FFFFFF"/>
          <w:lang w:val="es-ES_tradnl" w:eastAsia="es-AR"/>
        </w:rPr>
        <w:br w:type="textWrapping" w:clear="all"/>
      </w:r>
      <w:r w:rsidRPr="00930281">
        <w:rPr>
          <w:rFonts w:ascii="Times New Roman" w:eastAsia="Times New Roman" w:hAnsi="Times New Roman" w:cs="Times New Roman"/>
          <w:color w:val="000000"/>
          <w:sz w:val="14"/>
          <w:szCs w:val="14"/>
          <w:shd w:val="clear" w:color="auto" w:fill="FFFFFF"/>
          <w:lang w:val="es-ES_tradnl" w:eastAsia="es-AR"/>
        </w:rPr>
        <w:t>  </w:t>
      </w:r>
      <w:r w:rsidRPr="00930281">
        <w:rPr>
          <w:rFonts w:ascii="Times New Roman" w:eastAsia="Times New Roman" w:hAnsi="Times New Roman" w:cs="Times New Roman"/>
          <w:b/>
          <w:bCs/>
          <w:color w:val="000000"/>
          <w:sz w:val="24"/>
          <w:szCs w:val="24"/>
          <w:shd w:val="clear" w:color="auto" w:fill="FFFFFF"/>
          <w:lang w:val="es-ES_tradnl" w:eastAsia="es-AR"/>
        </w:rPr>
        <w:t>EFECTOS ADVERSOS Y TOXICIDAD:</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Los efectos adversos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son, en general, infrecuentes y reversibles con la reducción de la dosis o la retirada del tratamiento. Las reacciones adversas más características son:</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lang w:val="es-ES_tradnl" w:eastAsia="es-AR"/>
        </w:rPr>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 xml:space="preserve">Raramente (&lt;1%): somnolencia, letargo, vértigo, confusión, alucinaciones, agresividad, depresión, insomnio, pancreatitis, </w:t>
      </w:r>
      <w:proofErr w:type="spellStart"/>
      <w:r w:rsidRPr="00930281">
        <w:rPr>
          <w:rFonts w:ascii="Times New Roman" w:eastAsia="Times New Roman" w:hAnsi="Times New Roman" w:cs="Times New Roman"/>
          <w:color w:val="000000"/>
          <w:sz w:val="24"/>
          <w:szCs w:val="24"/>
          <w:lang w:val="es-ES_tradnl" w:eastAsia="es-AR"/>
        </w:rPr>
        <w:t>agranulocitosis</w:t>
      </w:r>
      <w:proofErr w:type="spellEnd"/>
      <w:r w:rsidRPr="00930281">
        <w:rPr>
          <w:rFonts w:ascii="Times New Roman" w:eastAsia="Times New Roman" w:hAnsi="Times New Roman" w:cs="Times New Roman"/>
          <w:color w:val="000000"/>
          <w:sz w:val="24"/>
          <w:szCs w:val="24"/>
          <w:lang w:val="es-ES_tradnl" w:eastAsia="es-AR"/>
        </w:rPr>
        <w:t xml:space="preserve">, anemia </w:t>
      </w:r>
      <w:proofErr w:type="spellStart"/>
      <w:r w:rsidRPr="00930281">
        <w:rPr>
          <w:rFonts w:ascii="Times New Roman" w:eastAsia="Times New Roman" w:hAnsi="Times New Roman" w:cs="Times New Roman"/>
          <w:color w:val="000000"/>
          <w:sz w:val="24"/>
          <w:szCs w:val="24"/>
          <w:lang w:val="es-ES_tradnl" w:eastAsia="es-AR"/>
        </w:rPr>
        <w:t>aplásica</w:t>
      </w:r>
      <w:proofErr w:type="spellEnd"/>
      <w:r w:rsidRPr="00930281">
        <w:rPr>
          <w:rFonts w:ascii="Times New Roman" w:eastAsia="Times New Roman" w:hAnsi="Times New Roman" w:cs="Times New Roman"/>
          <w:color w:val="000000"/>
          <w:sz w:val="24"/>
          <w:szCs w:val="24"/>
          <w:lang w:val="es-ES_tradnl" w:eastAsia="es-AR"/>
        </w:rPr>
        <w:t xml:space="preserve">, alopecia, eritema multiforme, bradicardia, bloqueo </w:t>
      </w:r>
      <w:proofErr w:type="spellStart"/>
      <w:r w:rsidRPr="00930281">
        <w:rPr>
          <w:rFonts w:ascii="Times New Roman" w:eastAsia="Times New Roman" w:hAnsi="Times New Roman" w:cs="Times New Roman"/>
          <w:color w:val="000000"/>
          <w:sz w:val="24"/>
          <w:szCs w:val="24"/>
          <w:lang w:val="es-ES_tradnl" w:eastAsia="es-AR"/>
        </w:rPr>
        <w:t>atrioventricular</w:t>
      </w:r>
      <w:proofErr w:type="spellEnd"/>
      <w:r w:rsidRPr="00930281">
        <w:rPr>
          <w:rFonts w:ascii="Times New Roman" w:eastAsia="Times New Roman" w:hAnsi="Times New Roman" w:cs="Times New Roman"/>
          <w:color w:val="000000"/>
          <w:sz w:val="24"/>
          <w:szCs w:val="24"/>
          <w:lang w:val="es-ES_tradnl" w:eastAsia="es-AR"/>
        </w:rPr>
        <w:t>, paro cardíaco, efecto inotrópico positivo, artralgia, alteraciones alérgicas, fiebre, sequedad de boca y piel.</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lang w:val="es-ES_tradnl" w:eastAsia="es-AR"/>
        </w:rPr>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 xml:space="preserve">Excepcionalmente (&lt;&lt;1%): cefalea (a veces severa), agitación, ansiedad, náuseas, vómitos, distensión abdominal, diarrea o estreñimiento, </w:t>
      </w:r>
      <w:proofErr w:type="spellStart"/>
      <w:r w:rsidRPr="00930281">
        <w:rPr>
          <w:rFonts w:ascii="Times New Roman" w:eastAsia="Times New Roman" w:hAnsi="Times New Roman" w:cs="Times New Roman"/>
          <w:color w:val="000000"/>
          <w:sz w:val="24"/>
          <w:szCs w:val="24"/>
          <w:lang w:val="es-ES_tradnl" w:eastAsia="es-AR"/>
        </w:rPr>
        <w:t>hepatotoxicidad</w:t>
      </w:r>
      <w:proofErr w:type="spellEnd"/>
      <w:r w:rsidRPr="00930281">
        <w:rPr>
          <w:rFonts w:ascii="Times New Roman" w:eastAsia="Times New Roman" w:hAnsi="Times New Roman" w:cs="Times New Roman"/>
          <w:color w:val="000000"/>
          <w:sz w:val="24"/>
          <w:szCs w:val="24"/>
          <w:lang w:val="es-ES_tradnl" w:eastAsia="es-AR"/>
        </w:rPr>
        <w:t xml:space="preserve">, </w:t>
      </w:r>
      <w:proofErr w:type="spellStart"/>
      <w:r w:rsidRPr="00930281">
        <w:rPr>
          <w:rFonts w:ascii="Times New Roman" w:eastAsia="Times New Roman" w:hAnsi="Times New Roman" w:cs="Times New Roman"/>
          <w:color w:val="000000"/>
          <w:sz w:val="24"/>
          <w:szCs w:val="24"/>
          <w:lang w:val="es-ES_tradnl" w:eastAsia="es-AR"/>
        </w:rPr>
        <w:t>granulocitopenia</w:t>
      </w:r>
      <w:proofErr w:type="spellEnd"/>
      <w:r w:rsidRPr="00930281">
        <w:rPr>
          <w:rFonts w:ascii="Times New Roman" w:eastAsia="Times New Roman" w:hAnsi="Times New Roman" w:cs="Times New Roman"/>
          <w:color w:val="000000"/>
          <w:sz w:val="24"/>
          <w:szCs w:val="24"/>
          <w:lang w:val="es-ES_tradnl" w:eastAsia="es-AR"/>
        </w:rPr>
        <w:t xml:space="preserve">, trombocitopenia, leucopenia reversible, </w:t>
      </w:r>
      <w:proofErr w:type="spellStart"/>
      <w:r w:rsidRPr="00930281">
        <w:rPr>
          <w:rFonts w:ascii="Times New Roman" w:eastAsia="Times New Roman" w:hAnsi="Times New Roman" w:cs="Times New Roman"/>
          <w:color w:val="000000"/>
          <w:sz w:val="24"/>
          <w:szCs w:val="24"/>
          <w:lang w:val="es-ES_tradnl" w:eastAsia="es-AR"/>
        </w:rPr>
        <w:t>pancitopenia</w:t>
      </w:r>
      <w:proofErr w:type="spellEnd"/>
      <w:r w:rsidRPr="00930281">
        <w:rPr>
          <w:rFonts w:ascii="Times New Roman" w:eastAsia="Times New Roman" w:hAnsi="Times New Roman" w:cs="Times New Roman"/>
          <w:color w:val="000000"/>
          <w:sz w:val="24"/>
          <w:szCs w:val="24"/>
          <w:lang w:val="es-ES_tradnl" w:eastAsia="es-AR"/>
        </w:rPr>
        <w:t xml:space="preserve"> (a veces con hipoplasia medular), pequeños aumentos en los niveles séricos de creatinina y BUN, erupciones exantemáticas, ginecomastia, impotencia, reducción de la libido, visión borrosa reversible, aumento de la presión intraocular, reacción anafiláctica, </w:t>
      </w:r>
      <w:proofErr w:type="spellStart"/>
      <w:r w:rsidRPr="00930281">
        <w:rPr>
          <w:rFonts w:ascii="Times New Roman" w:eastAsia="Times New Roman" w:hAnsi="Times New Roman" w:cs="Times New Roman"/>
          <w:color w:val="000000"/>
          <w:sz w:val="24"/>
          <w:szCs w:val="24"/>
          <w:lang w:val="es-ES_tradnl" w:eastAsia="es-AR"/>
        </w:rPr>
        <w:t>angioedema</w:t>
      </w:r>
      <w:proofErr w:type="spellEnd"/>
      <w:r w:rsidRPr="00930281">
        <w:rPr>
          <w:rFonts w:ascii="Times New Roman" w:eastAsia="Times New Roman" w:hAnsi="Times New Roman" w:cs="Times New Roman"/>
          <w:color w:val="000000"/>
          <w:sz w:val="24"/>
          <w:szCs w:val="24"/>
          <w:lang w:val="es-ES_tradnl" w:eastAsia="es-AR"/>
        </w:rPr>
        <w:t>, broncoespasmo, artralgia, mialgia, dolor en el punto de inyección intravenosa, meningitis aséptica, parotiditis.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Symbol" w:eastAsia="Times New Roman" w:hAnsi="Symbol" w:cs="Times New Roman"/>
          <w:color w:val="000000"/>
          <w:lang w:val="es-ES_tradnl" w:eastAsia="es-AR"/>
        </w:rPr>
        <w:t></w:t>
      </w:r>
      <w:r w:rsidRPr="00930281">
        <w:rPr>
          <w:rFonts w:ascii="Times New Roman" w:eastAsia="Times New Roman" w:hAnsi="Times New Roman" w:cs="Times New Roman"/>
          <w:color w:val="000000"/>
          <w:sz w:val="14"/>
          <w:szCs w:val="14"/>
          <w:lang w:val="es-ES_tradnl" w:eastAsia="es-AR"/>
        </w:rPr>
        <w:t>        </w:t>
      </w:r>
      <w:r w:rsidRPr="00930281">
        <w:rPr>
          <w:rFonts w:ascii="Times New Roman" w:eastAsia="Times New Roman" w:hAnsi="Times New Roman" w:cs="Times New Roman"/>
          <w:color w:val="000000"/>
          <w:sz w:val="24"/>
          <w:szCs w:val="24"/>
          <w:lang w:val="es-ES_tradnl" w:eastAsia="es-AR"/>
        </w:rPr>
        <w:t xml:space="preserve">La administración IV rápida en bolo (tiempo de infusión menor a 5 minutos) puede producir hipotensión transitoria significativa y raramente, arritmias cardíacas, mareos, somnolencia, </w:t>
      </w:r>
      <w:proofErr w:type="spellStart"/>
      <w:r w:rsidRPr="00930281">
        <w:rPr>
          <w:rFonts w:ascii="Times New Roman" w:eastAsia="Times New Roman" w:hAnsi="Times New Roman" w:cs="Times New Roman"/>
          <w:color w:val="000000"/>
          <w:sz w:val="24"/>
          <w:szCs w:val="24"/>
          <w:lang w:val="es-ES_tradnl" w:eastAsia="es-AR"/>
        </w:rPr>
        <w:t>nauseas</w:t>
      </w:r>
      <w:proofErr w:type="spellEnd"/>
      <w:r w:rsidRPr="00930281">
        <w:rPr>
          <w:rFonts w:ascii="Times New Roman" w:eastAsia="Times New Roman" w:hAnsi="Times New Roman" w:cs="Times New Roman"/>
          <w:color w:val="000000"/>
          <w:sz w:val="24"/>
          <w:szCs w:val="24"/>
          <w:lang w:val="es-ES_tradnl" w:eastAsia="es-AR"/>
        </w:rPr>
        <w:t xml:space="preserve"> o vómitos, </w:t>
      </w:r>
      <w:proofErr w:type="spellStart"/>
      <w:r w:rsidRPr="00930281">
        <w:rPr>
          <w:rFonts w:ascii="Times New Roman" w:eastAsia="Times New Roman" w:hAnsi="Times New Roman" w:cs="Times New Roman"/>
          <w:color w:val="000000"/>
          <w:sz w:val="24"/>
          <w:szCs w:val="24"/>
          <w:lang w:val="es-ES_tradnl" w:eastAsia="es-AR"/>
        </w:rPr>
        <w:t>rash</w:t>
      </w:r>
      <w:proofErr w:type="spellEnd"/>
      <w:r w:rsidRPr="00930281">
        <w:rPr>
          <w:rFonts w:ascii="Times New Roman" w:eastAsia="Times New Roman" w:hAnsi="Times New Roman" w:cs="Times New Roman"/>
          <w:color w:val="000000"/>
          <w:sz w:val="24"/>
          <w:szCs w:val="24"/>
          <w:lang w:val="es-ES_tradnl" w:eastAsia="es-AR"/>
        </w:rPr>
        <w:t xml:space="preserve"> cutáneo, vértigo, confusión.</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b/>
          <w:bCs/>
          <w:color w:val="000000"/>
          <w:sz w:val="24"/>
          <w:szCs w:val="24"/>
          <w:shd w:val="clear" w:color="auto" w:fill="FFFFFF"/>
          <w:lang w:val="es-ES_tradnl" w:eastAsia="es-AR"/>
        </w:rPr>
        <w:br w:type="textWrapping" w:clear="all"/>
      </w:r>
      <w:r w:rsidRPr="00930281">
        <w:rPr>
          <w:rFonts w:ascii="Times New Roman" w:eastAsia="Times New Roman" w:hAnsi="Times New Roman" w:cs="Times New Roman"/>
          <w:color w:val="000000"/>
          <w:sz w:val="14"/>
          <w:szCs w:val="14"/>
          <w:shd w:val="clear" w:color="auto" w:fill="FFFFFF"/>
          <w:lang w:val="es-ES_tradnl" w:eastAsia="es-AR"/>
        </w:rPr>
        <w:t>  </w:t>
      </w:r>
      <w:r w:rsidRPr="00930281">
        <w:rPr>
          <w:rFonts w:ascii="Times New Roman" w:eastAsia="Times New Roman" w:hAnsi="Times New Roman" w:cs="Times New Roman"/>
          <w:b/>
          <w:bCs/>
          <w:color w:val="000000"/>
          <w:sz w:val="24"/>
          <w:szCs w:val="24"/>
          <w:shd w:val="clear" w:color="auto" w:fill="FFFFFF"/>
          <w:lang w:val="es-ES_tradnl" w:eastAsia="es-AR"/>
        </w:rPr>
        <w:t>TRATAMIENTO DE LA SOBREDOSIS:</w:t>
      </w:r>
      <w:r w:rsidRPr="00930281">
        <w:rPr>
          <w:rFonts w:ascii="Times New Roman" w:eastAsia="Times New Roman" w:hAnsi="Times New Roman" w:cs="Times New Roman"/>
          <w:color w:val="000000"/>
          <w:sz w:val="24"/>
          <w:szCs w:val="24"/>
          <w:shd w:val="clear" w:color="auto" w:fill="FFFFFF"/>
          <w:lang w:val="es-ES_tradnl" w:eastAsia="es-AR"/>
        </w:rPr>
        <w:t>  </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eastAsia="es-AR"/>
        </w:rPr>
        <w:t xml:space="preserve">Las medidas usuales son: remover la droga absorbida en el tracto gastrointestinal, monitorear clínicamente al paciente y emplear un soporte para el tratamiento. La eliminación de </w:t>
      </w:r>
      <w:proofErr w:type="spellStart"/>
      <w:r w:rsidRPr="00930281">
        <w:rPr>
          <w:rFonts w:ascii="Times New Roman" w:eastAsia="Times New Roman" w:hAnsi="Times New Roman" w:cs="Times New Roman"/>
          <w:color w:val="000000"/>
          <w:sz w:val="24"/>
          <w:szCs w:val="24"/>
          <w:lang w:eastAsia="es-AR"/>
        </w:rPr>
        <w:t>ranitidina</w:t>
      </w:r>
      <w:proofErr w:type="spellEnd"/>
      <w:r w:rsidRPr="00930281">
        <w:rPr>
          <w:rFonts w:ascii="Times New Roman" w:eastAsia="Times New Roman" w:hAnsi="Times New Roman" w:cs="Times New Roman"/>
          <w:color w:val="000000"/>
          <w:sz w:val="24"/>
          <w:szCs w:val="24"/>
          <w:lang w:eastAsia="es-AR"/>
        </w:rPr>
        <w:t xml:space="preserve"> podría aumentarse con hemodiálisis.</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b/>
          <w:bCs/>
          <w:color w:val="000000"/>
          <w:sz w:val="24"/>
          <w:szCs w:val="24"/>
          <w:shd w:val="clear" w:color="auto" w:fill="FFFFFF"/>
          <w:lang w:val="es-ES_tradnl" w:eastAsia="es-AR"/>
        </w:rPr>
        <w:br w:type="textWrapping" w:clear="all"/>
        <w:t>CONTRAINDICACIONES Y PRECAUCIONES: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Contraindicado en alergia al medicamento.</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lastRenderedPageBreak/>
        <w:t>Precauciones: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La supresión completa de ácido gástrico puede predisponer a la colonización bacteriana, que a su vez, puede originar una neumonía bacteriana.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Insuficiencia renal: deberá ajustarse la dosis de acuerdo al grado de insuficiencia.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Se debe usar con precaución en pacientes con enfermedades cardíacas.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Insuficiencia hepática: se han observado elevaciones de enzimas hepáticas especialmente en pacientes tratados por vía endovenosa por más de 5 días.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Porfiria</w:t>
      </w:r>
      <w:proofErr w:type="spellEnd"/>
      <w:r w:rsidRPr="00930281">
        <w:rPr>
          <w:rFonts w:ascii="Times New Roman" w:eastAsia="Times New Roman" w:hAnsi="Times New Roman" w:cs="Times New Roman"/>
          <w:color w:val="000000"/>
          <w:sz w:val="24"/>
          <w:szCs w:val="24"/>
          <w:lang w:val="es-ES_tradnl" w:eastAsia="es-AR"/>
        </w:rPr>
        <w:t xml:space="preserve">: se han comunicado casos aislados de ataques de </w:t>
      </w:r>
      <w:proofErr w:type="spellStart"/>
      <w:r w:rsidRPr="00930281">
        <w:rPr>
          <w:rFonts w:ascii="Times New Roman" w:eastAsia="Times New Roman" w:hAnsi="Times New Roman" w:cs="Times New Roman"/>
          <w:color w:val="000000"/>
          <w:sz w:val="24"/>
          <w:szCs w:val="24"/>
          <w:lang w:val="es-ES_tradnl" w:eastAsia="es-AR"/>
        </w:rPr>
        <w:t>porfiria</w:t>
      </w:r>
      <w:proofErr w:type="spellEnd"/>
      <w:r w:rsidRPr="00930281">
        <w:rPr>
          <w:rFonts w:ascii="Times New Roman" w:eastAsia="Times New Roman" w:hAnsi="Times New Roman" w:cs="Times New Roman"/>
          <w:color w:val="000000"/>
          <w:sz w:val="24"/>
          <w:szCs w:val="24"/>
          <w:lang w:val="es-ES_tradnl" w:eastAsia="es-AR"/>
        </w:rPr>
        <w:t xml:space="preserve"> aguda.</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      Embarazo: categoría B de la FDA. La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atraviesa la placenta en un 90% (endovenoso) y un 38% (oral). Se han observado defectos cardiovasculares en algunos recién nacidos cuyas madres han estado expuestas 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durante el primer trimestre del embarazo, no existen datos suficientes para una posible asociación. Se ha usado sola o en combinación con antiácidos para prevenir la aspiración ácida gástrica (síndrome de </w:t>
      </w:r>
      <w:proofErr w:type="spellStart"/>
      <w:r w:rsidRPr="00930281">
        <w:rPr>
          <w:rFonts w:ascii="Times New Roman" w:eastAsia="Times New Roman" w:hAnsi="Times New Roman" w:cs="Times New Roman"/>
          <w:color w:val="000000"/>
          <w:sz w:val="24"/>
          <w:szCs w:val="24"/>
          <w:lang w:val="es-ES_tradnl" w:eastAsia="es-AR"/>
        </w:rPr>
        <w:t>Mendelson</w:t>
      </w:r>
      <w:proofErr w:type="spellEnd"/>
      <w:r w:rsidRPr="00930281">
        <w:rPr>
          <w:rFonts w:ascii="Times New Roman" w:eastAsia="Times New Roman" w:hAnsi="Times New Roman" w:cs="Times New Roman"/>
          <w:color w:val="000000"/>
          <w:sz w:val="24"/>
          <w:szCs w:val="24"/>
          <w:lang w:val="es-ES_tradnl" w:eastAsia="es-AR"/>
        </w:rPr>
        <w:t>) previa al parto o cesárea sin observarse efectos adversos. El uso de este medicamento sólo se acepta en casos de ausencia de alternativas terapéuticas más seguras.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    Madres lactantes: la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alcanza una concentración en leche materna hasta 6,7 veces mayor que en el plasma materno a las 6hs de su administración. A causa de las altas concentraciones alcanzadas en leche se recomienda suspender la lactancia o evitar la administración de este medicamento, aunque la cimetidina, otro fármaco de este grupo, se considera compatible con la lactancia.</w:t>
      </w:r>
    </w:p>
    <w:p w:rsidR="00930281" w:rsidRPr="00930281" w:rsidRDefault="00930281" w:rsidP="00930281">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0"/>
          <w:szCs w:val="20"/>
          <w:lang w:val="es-ES_tradnl" w:eastAsia="es-AR"/>
        </w:rPr>
        <w:t>*      Uso en niños: no se han descripto problemas especialmente pediátricos durante el uso a corto plazo.</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    Debe advertirse a pacientes con fenilcetonuria o que deben restringir la ingestión de fenilalanina que los comprimidos efervescentes pueden contener aspartamo el cual es metabolizado en el tracto </w:t>
      </w:r>
      <w:proofErr w:type="spellStart"/>
      <w:r w:rsidRPr="00930281">
        <w:rPr>
          <w:rFonts w:ascii="Times New Roman" w:eastAsia="Times New Roman" w:hAnsi="Times New Roman" w:cs="Times New Roman"/>
          <w:color w:val="000000"/>
          <w:sz w:val="24"/>
          <w:szCs w:val="24"/>
          <w:lang w:val="es-ES_tradnl" w:eastAsia="es-AR"/>
        </w:rPr>
        <w:t>gastroinestinal</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xml:space="preserve">*    Los pacientes geriátricos pueden tener un riesgo mayor de sufrir reacciones </w:t>
      </w:r>
      <w:proofErr w:type="spellStart"/>
      <w:r w:rsidRPr="00930281">
        <w:rPr>
          <w:rFonts w:ascii="Times New Roman" w:eastAsia="Times New Roman" w:hAnsi="Times New Roman" w:cs="Times New Roman"/>
          <w:color w:val="000000"/>
          <w:sz w:val="24"/>
          <w:szCs w:val="24"/>
          <w:lang w:val="es-ES_tradnl" w:eastAsia="es-AR"/>
        </w:rPr>
        <w:t>neuropsiquiátricas</w:t>
      </w:r>
      <w:proofErr w:type="spellEnd"/>
      <w:r w:rsidRPr="00930281">
        <w:rPr>
          <w:rFonts w:ascii="Times New Roman" w:eastAsia="Times New Roman" w:hAnsi="Times New Roman" w:cs="Times New Roman"/>
          <w:color w:val="000000"/>
          <w:sz w:val="24"/>
          <w:szCs w:val="24"/>
          <w:lang w:val="es-ES_tradnl" w:eastAsia="es-AR"/>
        </w:rPr>
        <w:t xml:space="preserve"> (confusión, alucinaciones y reacciones psicóticas). En dosis similares al adulto, en los pacientes geriátricos con insuficiencia renal, la dosis y frecuencia de administración debe ser modificada según el grado de incapacidad de la función renal.</w:t>
      </w:r>
    </w:p>
    <w:p w:rsidR="00930281" w:rsidRPr="00930281" w:rsidRDefault="00930281" w:rsidP="00930281">
      <w:pPr>
        <w:shd w:val="clear" w:color="auto" w:fill="FFFFFF"/>
        <w:spacing w:line="240" w:lineRule="auto"/>
        <w:ind w:left="340" w:firstLine="0"/>
        <w:jc w:val="left"/>
        <w:rPr>
          <w:rFonts w:ascii="Times New Roman" w:eastAsia="Times New Roman" w:hAnsi="Times New Roman" w:cs="Times New Roman"/>
          <w:color w:val="000000"/>
          <w:sz w:val="24"/>
          <w:szCs w:val="24"/>
          <w:lang w:eastAsia="es-AR"/>
        </w:rPr>
      </w:pPr>
      <w:r w:rsidRPr="00930281">
        <w:rPr>
          <w:rFonts w:ascii="Times New Roman" w:eastAsia="Times New Roman" w:hAnsi="Times New Roman" w:cs="Times New Roman"/>
          <w:color w:val="000000"/>
          <w:sz w:val="24"/>
          <w:szCs w:val="24"/>
          <w:lang w:val="es-ES_tradnl" w:eastAsia="es-AR"/>
        </w:rPr>
        <w:t>*    La persistencia de síntomas abdominales (más de 1 a 2 semanas de tratamiento) sugieren en general un diagnóstico distinto de la úlcera y requiere una nueva evaluación diagnóstica detallada.</w:t>
      </w:r>
    </w:p>
    <w:p w:rsidR="00930281" w:rsidRPr="00930281" w:rsidRDefault="00930281" w:rsidP="00930281">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930281">
        <w:rPr>
          <w:rFonts w:ascii="Times New Roman" w:eastAsia="Times New Roman" w:hAnsi="Times New Roman" w:cs="Times New Roman"/>
          <w:color w:val="000000"/>
          <w:sz w:val="24"/>
          <w:szCs w:val="24"/>
          <w:shd w:val="clear" w:color="auto" w:fill="FFFFFF"/>
          <w:lang w:val="es-ES_tradnl" w:eastAsia="es-AR"/>
        </w:rPr>
        <w:br w:type="textWrapping" w:clear="all"/>
      </w:r>
      <w:r w:rsidRPr="00930281">
        <w:rPr>
          <w:rFonts w:ascii="Times New Roman" w:eastAsia="Times New Roman" w:hAnsi="Times New Roman" w:cs="Times New Roman"/>
          <w:b/>
          <w:bCs/>
          <w:color w:val="000000"/>
          <w:sz w:val="24"/>
          <w:szCs w:val="24"/>
          <w:shd w:val="clear" w:color="auto" w:fill="FFFFFF"/>
          <w:lang w:val="es-ES_tradnl" w:eastAsia="es-AR"/>
        </w:rPr>
        <w:t>INTERACCIONES:  </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lastRenderedPageBreak/>
        <w:t xml:space="preserve">Las asociaciones que contengan </w:t>
      </w:r>
      <w:proofErr w:type="gramStart"/>
      <w:r w:rsidRPr="00930281">
        <w:rPr>
          <w:rFonts w:ascii="Times New Roman" w:eastAsia="Times New Roman" w:hAnsi="Times New Roman" w:cs="Times New Roman"/>
          <w:color w:val="000000"/>
          <w:sz w:val="24"/>
          <w:szCs w:val="24"/>
          <w:lang w:val="es-ES_tradnl" w:eastAsia="es-AR"/>
        </w:rPr>
        <w:t>cualesquiera</w:t>
      </w:r>
      <w:proofErr w:type="gramEnd"/>
      <w:r w:rsidRPr="00930281">
        <w:rPr>
          <w:rFonts w:ascii="Times New Roman" w:eastAsia="Times New Roman" w:hAnsi="Times New Roman" w:cs="Times New Roman"/>
          <w:color w:val="000000"/>
          <w:sz w:val="24"/>
          <w:szCs w:val="24"/>
          <w:lang w:val="es-ES_tradnl" w:eastAsia="es-AR"/>
        </w:rPr>
        <w:t xml:space="preserve"> de los siguientes medicamentos, dependiendo de la cantidad presente, pueden también interaccionar con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xml:space="preserve">*      Alcohol: aumento de los niveles sanguíneos de alcohol cuando se administra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oral junto con alcohol.</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Antiácidos (</w:t>
      </w:r>
      <w:proofErr w:type="spellStart"/>
      <w:r w:rsidRPr="00930281">
        <w:rPr>
          <w:rFonts w:ascii="Times New Roman" w:eastAsia="Times New Roman" w:hAnsi="Times New Roman" w:cs="Times New Roman"/>
          <w:color w:val="000000"/>
          <w:sz w:val="24"/>
          <w:szCs w:val="24"/>
          <w:lang w:val="es-ES_tradnl" w:eastAsia="es-AR"/>
        </w:rPr>
        <w:t>algeldrato</w:t>
      </w:r>
      <w:proofErr w:type="spellEnd"/>
      <w:r w:rsidRPr="00930281">
        <w:rPr>
          <w:rFonts w:ascii="Times New Roman" w:eastAsia="Times New Roman" w:hAnsi="Times New Roman" w:cs="Times New Roman"/>
          <w:color w:val="000000"/>
          <w:sz w:val="24"/>
          <w:szCs w:val="24"/>
          <w:lang w:val="es-ES_tradnl" w:eastAsia="es-AR"/>
        </w:rPr>
        <w:t xml:space="preserve">, fosfato aluminio, hidróxido de magnesio): posible disminución de la absorción oral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Anticoagulantes orales (</w:t>
      </w:r>
      <w:proofErr w:type="spellStart"/>
      <w:r w:rsidRPr="00930281">
        <w:rPr>
          <w:rFonts w:ascii="Times New Roman" w:eastAsia="Times New Roman" w:hAnsi="Times New Roman" w:cs="Times New Roman"/>
          <w:color w:val="000000"/>
          <w:sz w:val="24"/>
          <w:szCs w:val="24"/>
          <w:lang w:val="es-ES_tradnl" w:eastAsia="es-AR"/>
        </w:rPr>
        <w:t>warfarina</w:t>
      </w:r>
      <w:proofErr w:type="spellEnd"/>
      <w:r w:rsidRPr="00930281">
        <w:rPr>
          <w:rFonts w:ascii="Times New Roman" w:eastAsia="Times New Roman" w:hAnsi="Times New Roman" w:cs="Times New Roman"/>
          <w:color w:val="000000"/>
          <w:sz w:val="24"/>
          <w:szCs w:val="24"/>
          <w:lang w:val="es-ES_tradnl" w:eastAsia="es-AR"/>
        </w:rPr>
        <w:t xml:space="preserve">): posible aumento de los niveles de </w:t>
      </w:r>
      <w:proofErr w:type="spellStart"/>
      <w:r w:rsidRPr="00930281">
        <w:rPr>
          <w:rFonts w:ascii="Times New Roman" w:eastAsia="Times New Roman" w:hAnsi="Times New Roman" w:cs="Times New Roman"/>
          <w:color w:val="000000"/>
          <w:sz w:val="24"/>
          <w:szCs w:val="24"/>
          <w:lang w:val="es-ES_tradnl" w:eastAsia="es-AR"/>
        </w:rPr>
        <w:t>warfarina</w:t>
      </w:r>
      <w:proofErr w:type="spellEnd"/>
      <w:r w:rsidRPr="00930281">
        <w:rPr>
          <w:rFonts w:ascii="Times New Roman" w:eastAsia="Times New Roman" w:hAnsi="Times New Roman" w:cs="Times New Roman"/>
          <w:color w:val="000000"/>
          <w:sz w:val="24"/>
          <w:szCs w:val="24"/>
          <w:lang w:val="es-ES_tradnl" w:eastAsia="es-AR"/>
        </w:rPr>
        <w:t xml:space="preserve">, puede ser necesario ajustar la dosis durante el tratamiento con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para evitar una hemorragia secundaria al aumento del efecto anticoagulante.</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Antidiabéticos orales (</w:t>
      </w:r>
      <w:proofErr w:type="spellStart"/>
      <w:r w:rsidRPr="00930281">
        <w:rPr>
          <w:rFonts w:ascii="Times New Roman" w:eastAsia="Times New Roman" w:hAnsi="Times New Roman" w:cs="Times New Roman"/>
          <w:color w:val="000000"/>
          <w:sz w:val="24"/>
          <w:szCs w:val="24"/>
          <w:lang w:val="es-ES_tradnl" w:eastAsia="es-AR"/>
        </w:rPr>
        <w:t>glibenclamida</w:t>
      </w:r>
      <w:proofErr w:type="spellEnd"/>
      <w:r w:rsidRPr="00930281">
        <w:rPr>
          <w:rFonts w:ascii="Times New Roman" w:eastAsia="Times New Roman" w:hAnsi="Times New Roman" w:cs="Times New Roman"/>
          <w:color w:val="000000"/>
          <w:sz w:val="24"/>
          <w:szCs w:val="24"/>
          <w:lang w:val="es-ES_tradnl" w:eastAsia="es-AR"/>
        </w:rPr>
        <w:t xml:space="preserve">, </w:t>
      </w:r>
      <w:proofErr w:type="spellStart"/>
      <w:r w:rsidRPr="00930281">
        <w:rPr>
          <w:rFonts w:ascii="Times New Roman" w:eastAsia="Times New Roman" w:hAnsi="Times New Roman" w:cs="Times New Roman"/>
          <w:color w:val="000000"/>
          <w:sz w:val="24"/>
          <w:szCs w:val="24"/>
          <w:lang w:val="es-ES_tradnl" w:eastAsia="es-AR"/>
        </w:rPr>
        <w:t>glipizida</w:t>
      </w:r>
      <w:proofErr w:type="spellEnd"/>
      <w:r w:rsidRPr="00930281">
        <w:rPr>
          <w:rFonts w:ascii="Times New Roman" w:eastAsia="Times New Roman" w:hAnsi="Times New Roman" w:cs="Times New Roman"/>
          <w:color w:val="000000"/>
          <w:sz w:val="24"/>
          <w:szCs w:val="24"/>
          <w:lang w:val="es-ES_tradnl" w:eastAsia="es-AR"/>
        </w:rPr>
        <w:t>): posible incremento de su acción y toxicidad.</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Antifúngicos</w:t>
      </w:r>
      <w:proofErr w:type="spellEnd"/>
      <w:r w:rsidRPr="00930281">
        <w:rPr>
          <w:rFonts w:ascii="Times New Roman" w:eastAsia="Times New Roman" w:hAnsi="Times New Roman" w:cs="Times New Roman"/>
          <w:color w:val="000000"/>
          <w:sz w:val="24"/>
          <w:szCs w:val="24"/>
          <w:lang w:val="es-ES_tradnl" w:eastAsia="es-AR"/>
        </w:rPr>
        <w:t xml:space="preserve"> (</w:t>
      </w:r>
      <w:proofErr w:type="spellStart"/>
      <w:r w:rsidRPr="00930281">
        <w:rPr>
          <w:rFonts w:ascii="Times New Roman" w:eastAsia="Times New Roman" w:hAnsi="Times New Roman" w:cs="Times New Roman"/>
          <w:color w:val="000000"/>
          <w:sz w:val="24"/>
          <w:szCs w:val="24"/>
          <w:lang w:val="es-ES_tradnl" w:eastAsia="es-AR"/>
        </w:rPr>
        <w:t>itraconazol</w:t>
      </w:r>
      <w:proofErr w:type="spellEnd"/>
      <w:r w:rsidRPr="00930281">
        <w:rPr>
          <w:rFonts w:ascii="Times New Roman" w:eastAsia="Times New Roman" w:hAnsi="Times New Roman" w:cs="Times New Roman"/>
          <w:color w:val="000000"/>
          <w:sz w:val="24"/>
          <w:szCs w:val="24"/>
          <w:lang w:val="es-ES_tradnl" w:eastAsia="es-AR"/>
        </w:rPr>
        <w:t xml:space="preserve">, </w:t>
      </w:r>
      <w:proofErr w:type="spellStart"/>
      <w:r w:rsidRPr="00930281">
        <w:rPr>
          <w:rFonts w:ascii="Times New Roman" w:eastAsia="Times New Roman" w:hAnsi="Times New Roman" w:cs="Times New Roman"/>
          <w:color w:val="000000"/>
          <w:sz w:val="24"/>
          <w:szCs w:val="24"/>
          <w:lang w:val="es-ES_tradnl" w:eastAsia="es-AR"/>
        </w:rPr>
        <w:t>ketoconazol</w:t>
      </w:r>
      <w:proofErr w:type="spellEnd"/>
      <w:r w:rsidRPr="00930281">
        <w:rPr>
          <w:rFonts w:ascii="Times New Roman" w:eastAsia="Times New Roman" w:hAnsi="Times New Roman" w:cs="Times New Roman"/>
          <w:color w:val="000000"/>
          <w:sz w:val="24"/>
          <w:szCs w:val="24"/>
          <w:lang w:val="es-ES_tradnl" w:eastAsia="es-AR"/>
        </w:rPr>
        <w:t xml:space="preserve">): posible disminución de los efectos </w:t>
      </w:r>
      <w:proofErr w:type="spellStart"/>
      <w:r w:rsidRPr="00930281">
        <w:rPr>
          <w:rFonts w:ascii="Times New Roman" w:eastAsia="Times New Roman" w:hAnsi="Times New Roman" w:cs="Times New Roman"/>
          <w:color w:val="000000"/>
          <w:sz w:val="24"/>
          <w:szCs w:val="24"/>
          <w:lang w:val="es-ES_tradnl" w:eastAsia="es-AR"/>
        </w:rPr>
        <w:t>antifúngicos</w:t>
      </w:r>
      <w:proofErr w:type="spellEnd"/>
      <w:r w:rsidRPr="00930281">
        <w:rPr>
          <w:rFonts w:ascii="Times New Roman" w:eastAsia="Times New Roman" w:hAnsi="Times New Roman" w:cs="Times New Roman"/>
          <w:color w:val="000000"/>
          <w:sz w:val="24"/>
          <w:szCs w:val="24"/>
          <w:lang w:val="es-ES_tradnl" w:eastAsia="es-AR"/>
        </w:rPr>
        <w:t xml:space="preserve"> por reducción de su absorción debido al incremento del pH gástrico provocado por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Bupivacaína</w:t>
      </w:r>
      <w:proofErr w:type="spellEnd"/>
      <w:r w:rsidRPr="00930281">
        <w:rPr>
          <w:rFonts w:ascii="Times New Roman" w:eastAsia="Times New Roman" w:hAnsi="Times New Roman" w:cs="Times New Roman"/>
          <w:color w:val="000000"/>
          <w:sz w:val="24"/>
          <w:szCs w:val="24"/>
          <w:lang w:val="es-ES_tradnl" w:eastAsia="es-AR"/>
        </w:rPr>
        <w:t>: posible aumento de su reabsorción oral.</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Ciclosporina: posible incremento de su toxicidad por inhibición de su secreción tubular.</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Cisapride</w:t>
      </w:r>
      <w:proofErr w:type="spellEnd"/>
      <w:r w:rsidRPr="00930281">
        <w:rPr>
          <w:rFonts w:ascii="Times New Roman" w:eastAsia="Times New Roman" w:hAnsi="Times New Roman" w:cs="Times New Roman"/>
          <w:color w:val="000000"/>
          <w:sz w:val="24"/>
          <w:szCs w:val="24"/>
          <w:lang w:val="es-ES_tradnl" w:eastAsia="es-AR"/>
        </w:rPr>
        <w:t xml:space="preserve">: las concentraciones plasmáticas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se alcanzaron significativamente más rápido con la administración concomitante de </w:t>
      </w:r>
      <w:proofErr w:type="spellStart"/>
      <w:r w:rsidRPr="00930281">
        <w:rPr>
          <w:rFonts w:ascii="Times New Roman" w:eastAsia="Times New Roman" w:hAnsi="Times New Roman" w:cs="Times New Roman"/>
          <w:color w:val="000000"/>
          <w:sz w:val="24"/>
          <w:szCs w:val="24"/>
          <w:lang w:val="es-ES_tradnl" w:eastAsia="es-AR"/>
        </w:rPr>
        <w:t>cisapride</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xml:space="preserve">*      Cigarrillo: disminuye la eficacia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Didanosina</w:t>
      </w:r>
      <w:proofErr w:type="spellEnd"/>
      <w:r w:rsidRPr="00930281">
        <w:rPr>
          <w:rFonts w:ascii="Times New Roman" w:eastAsia="Times New Roman" w:hAnsi="Times New Roman" w:cs="Times New Roman"/>
          <w:color w:val="000000"/>
          <w:sz w:val="24"/>
          <w:szCs w:val="24"/>
          <w:lang w:val="es-ES_tradnl" w:eastAsia="es-AR"/>
        </w:rPr>
        <w:t xml:space="preserve">: posible incremento de los niveles séricos de </w:t>
      </w:r>
      <w:proofErr w:type="spellStart"/>
      <w:r w:rsidRPr="00930281">
        <w:rPr>
          <w:rFonts w:ascii="Times New Roman" w:eastAsia="Times New Roman" w:hAnsi="Times New Roman" w:cs="Times New Roman"/>
          <w:color w:val="000000"/>
          <w:sz w:val="24"/>
          <w:szCs w:val="24"/>
          <w:lang w:val="es-ES_tradnl" w:eastAsia="es-AR"/>
        </w:rPr>
        <w:t>didanosina</w:t>
      </w:r>
      <w:proofErr w:type="spellEnd"/>
      <w:r w:rsidRPr="00930281">
        <w:rPr>
          <w:rFonts w:ascii="Times New Roman" w:eastAsia="Times New Roman" w:hAnsi="Times New Roman" w:cs="Times New Roman"/>
          <w:color w:val="000000"/>
          <w:sz w:val="24"/>
          <w:szCs w:val="24"/>
          <w:lang w:val="es-ES_tradnl" w:eastAsia="es-AR"/>
        </w:rPr>
        <w:t xml:space="preserve"> y descenso de los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Enoxacino</w:t>
      </w:r>
      <w:proofErr w:type="spellEnd"/>
      <w:r w:rsidRPr="00930281">
        <w:rPr>
          <w:rFonts w:ascii="Times New Roman" w:eastAsia="Times New Roman" w:hAnsi="Times New Roman" w:cs="Times New Roman"/>
          <w:color w:val="000000"/>
          <w:sz w:val="24"/>
          <w:szCs w:val="24"/>
          <w:lang w:val="es-ES_tradnl" w:eastAsia="es-AR"/>
        </w:rPr>
        <w:t>: disminución de su absorción debido a los cambios del pH gástrico.</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Fenitoína</w:t>
      </w:r>
      <w:proofErr w:type="spellEnd"/>
      <w:r w:rsidRPr="00930281">
        <w:rPr>
          <w:rFonts w:ascii="Times New Roman" w:eastAsia="Times New Roman" w:hAnsi="Times New Roman" w:cs="Times New Roman"/>
          <w:color w:val="000000"/>
          <w:sz w:val="24"/>
          <w:szCs w:val="24"/>
          <w:lang w:val="es-ES_tradnl" w:eastAsia="es-AR"/>
        </w:rPr>
        <w:t>: posible incremento de sus niveles séricos.</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Metoprolol</w:t>
      </w:r>
      <w:proofErr w:type="spellEnd"/>
      <w:r w:rsidRPr="00930281">
        <w:rPr>
          <w:rFonts w:ascii="Times New Roman" w:eastAsia="Times New Roman" w:hAnsi="Times New Roman" w:cs="Times New Roman"/>
          <w:color w:val="000000"/>
          <w:sz w:val="24"/>
          <w:szCs w:val="24"/>
          <w:lang w:val="es-ES_tradnl" w:eastAsia="es-AR"/>
        </w:rPr>
        <w:t>: posible aumento de su acción y/o toxicidad.</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Midazolam</w:t>
      </w:r>
      <w:proofErr w:type="spellEnd"/>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Morfina: posible incremento de la toxicidad.</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Nifedipina</w:t>
      </w:r>
      <w:proofErr w:type="spellEnd"/>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Fenitoína</w:t>
      </w:r>
      <w:proofErr w:type="spellEnd"/>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Teofilina: posible incremento de su toxicidad.</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Tolazolina</w:t>
      </w:r>
      <w:proofErr w:type="spellEnd"/>
      <w:r w:rsidRPr="00930281">
        <w:rPr>
          <w:rFonts w:ascii="Times New Roman" w:eastAsia="Times New Roman" w:hAnsi="Times New Roman" w:cs="Times New Roman"/>
          <w:color w:val="000000"/>
          <w:sz w:val="24"/>
          <w:szCs w:val="24"/>
          <w:lang w:val="es-ES_tradnl" w:eastAsia="es-AR"/>
        </w:rPr>
        <w:t xml:space="preserve">: posible inhibición de su efecto por acción de la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lastRenderedPageBreak/>
        <w:t>*      </w:t>
      </w:r>
      <w:proofErr w:type="spellStart"/>
      <w:r w:rsidRPr="00930281">
        <w:rPr>
          <w:rFonts w:ascii="Times New Roman" w:eastAsia="Times New Roman" w:hAnsi="Times New Roman" w:cs="Times New Roman"/>
          <w:color w:val="000000"/>
          <w:sz w:val="24"/>
          <w:szCs w:val="24"/>
          <w:lang w:val="es-ES_tradnl" w:eastAsia="es-AR"/>
        </w:rPr>
        <w:t>Triamtereno</w:t>
      </w:r>
      <w:proofErr w:type="spellEnd"/>
      <w:r w:rsidRPr="00930281">
        <w:rPr>
          <w:rFonts w:ascii="Times New Roman" w:eastAsia="Times New Roman" w:hAnsi="Times New Roman" w:cs="Times New Roman"/>
          <w:color w:val="000000"/>
          <w:sz w:val="24"/>
          <w:szCs w:val="24"/>
          <w:lang w:val="es-ES_tradnl" w:eastAsia="es-AR"/>
        </w:rPr>
        <w:t>: posible disminución de su absorción.</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Procainamida</w:t>
      </w:r>
      <w:proofErr w:type="spellEnd"/>
      <w:r w:rsidRPr="00930281">
        <w:rPr>
          <w:rFonts w:ascii="Times New Roman" w:eastAsia="Times New Roman" w:hAnsi="Times New Roman" w:cs="Times New Roman"/>
          <w:color w:val="000000"/>
          <w:sz w:val="24"/>
          <w:szCs w:val="24"/>
          <w:lang w:val="es-ES_tradnl" w:eastAsia="es-AR"/>
        </w:rPr>
        <w:t xml:space="preserve">: la eliminación renal de </w:t>
      </w:r>
      <w:proofErr w:type="spellStart"/>
      <w:r w:rsidRPr="00930281">
        <w:rPr>
          <w:rFonts w:ascii="Times New Roman" w:eastAsia="Times New Roman" w:hAnsi="Times New Roman" w:cs="Times New Roman"/>
          <w:color w:val="000000"/>
          <w:sz w:val="24"/>
          <w:szCs w:val="24"/>
          <w:lang w:val="es-ES_tradnl" w:eastAsia="es-AR"/>
        </w:rPr>
        <w:t>procainamida</w:t>
      </w:r>
      <w:proofErr w:type="spellEnd"/>
      <w:r w:rsidRPr="00930281">
        <w:rPr>
          <w:rFonts w:ascii="Times New Roman" w:eastAsia="Times New Roman" w:hAnsi="Times New Roman" w:cs="Times New Roman"/>
          <w:color w:val="000000"/>
          <w:sz w:val="24"/>
          <w:szCs w:val="24"/>
          <w:lang w:val="es-ES_tradnl" w:eastAsia="es-AR"/>
        </w:rPr>
        <w:t xml:space="preserve"> puede disminuir debido a la competición entre la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 xml:space="preserve"> y la </w:t>
      </w:r>
      <w:proofErr w:type="spellStart"/>
      <w:r w:rsidRPr="00930281">
        <w:rPr>
          <w:rFonts w:ascii="Times New Roman" w:eastAsia="Times New Roman" w:hAnsi="Times New Roman" w:cs="Times New Roman"/>
          <w:color w:val="000000"/>
          <w:sz w:val="24"/>
          <w:szCs w:val="24"/>
          <w:lang w:val="es-ES_tradnl" w:eastAsia="es-AR"/>
        </w:rPr>
        <w:t>procainamida</w:t>
      </w:r>
      <w:proofErr w:type="spellEnd"/>
      <w:r w:rsidRPr="00930281">
        <w:rPr>
          <w:rFonts w:ascii="Times New Roman" w:eastAsia="Times New Roman" w:hAnsi="Times New Roman" w:cs="Times New Roman"/>
          <w:color w:val="000000"/>
          <w:sz w:val="24"/>
          <w:szCs w:val="24"/>
          <w:lang w:val="es-ES_tradnl" w:eastAsia="es-AR"/>
        </w:rPr>
        <w:t xml:space="preserve"> por la secreción tubular activa, que produce un aumento de la concentración sanguínea de </w:t>
      </w:r>
      <w:proofErr w:type="spellStart"/>
      <w:r w:rsidRPr="00930281">
        <w:rPr>
          <w:rFonts w:ascii="Times New Roman" w:eastAsia="Times New Roman" w:hAnsi="Times New Roman" w:cs="Times New Roman"/>
          <w:color w:val="000000"/>
          <w:sz w:val="24"/>
          <w:szCs w:val="24"/>
          <w:lang w:val="es-ES_tradnl" w:eastAsia="es-AR"/>
        </w:rPr>
        <w:t>procainamida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Propantenilo</w:t>
      </w:r>
      <w:proofErr w:type="spellEnd"/>
      <w:r w:rsidRPr="00930281">
        <w:rPr>
          <w:rFonts w:ascii="Times New Roman" w:eastAsia="Times New Roman" w:hAnsi="Times New Roman" w:cs="Times New Roman"/>
          <w:color w:val="000000"/>
          <w:sz w:val="24"/>
          <w:szCs w:val="24"/>
          <w:lang w:val="es-ES_tradnl" w:eastAsia="es-AR"/>
        </w:rPr>
        <w:t xml:space="preserve"> bromuro: aumenta las concentraciones plasmáticas de </w:t>
      </w:r>
      <w:proofErr w:type="spellStart"/>
      <w:r w:rsidRPr="00930281">
        <w:rPr>
          <w:rFonts w:ascii="Times New Roman" w:eastAsia="Times New Roman" w:hAnsi="Times New Roman" w:cs="Times New Roman"/>
          <w:color w:val="000000"/>
          <w:sz w:val="24"/>
          <w:szCs w:val="24"/>
          <w:lang w:val="es-ES_tradnl" w:eastAsia="es-AR"/>
        </w:rPr>
        <w:t>ranitidina</w:t>
      </w:r>
      <w:proofErr w:type="spellEnd"/>
      <w:r w:rsidRPr="00930281">
        <w:rPr>
          <w:rFonts w:ascii="Times New Roman" w:eastAsia="Times New Roman" w:hAnsi="Times New Roman" w:cs="Times New Roman"/>
          <w:color w:val="000000"/>
          <w:sz w:val="24"/>
          <w:szCs w:val="24"/>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w:t>
      </w:r>
      <w:proofErr w:type="spellStart"/>
      <w:r w:rsidRPr="00930281">
        <w:rPr>
          <w:rFonts w:ascii="Times New Roman" w:eastAsia="Times New Roman" w:hAnsi="Times New Roman" w:cs="Times New Roman"/>
          <w:color w:val="000000"/>
          <w:sz w:val="24"/>
          <w:szCs w:val="24"/>
          <w:lang w:val="es-ES_tradnl" w:eastAsia="es-AR"/>
        </w:rPr>
        <w:t>Quinidina</w:t>
      </w:r>
      <w:proofErr w:type="spellEnd"/>
      <w:r w:rsidRPr="00930281">
        <w:rPr>
          <w:rFonts w:ascii="Times New Roman" w:eastAsia="Times New Roman" w:hAnsi="Times New Roman" w:cs="Times New Roman"/>
          <w:color w:val="000000"/>
          <w:sz w:val="24"/>
          <w:szCs w:val="24"/>
          <w:lang w:val="es-ES_tradnl" w:eastAsia="es-AR"/>
        </w:rPr>
        <w:t>: posible aparición de toxicidad.</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b/>
          <w:bCs/>
          <w:color w:val="000000"/>
          <w:sz w:val="28"/>
          <w:szCs w:val="28"/>
          <w:lang w:val="es-ES_tradnl" w:eastAsia="es-AR"/>
        </w:rPr>
        <w:t>*     </w:t>
      </w:r>
      <w:proofErr w:type="spellStart"/>
      <w:r w:rsidRPr="00930281">
        <w:rPr>
          <w:rFonts w:ascii="Times New Roman" w:eastAsia="Times New Roman" w:hAnsi="Times New Roman" w:cs="Times New Roman"/>
          <w:b/>
          <w:bCs/>
          <w:color w:val="000000"/>
          <w:sz w:val="24"/>
          <w:szCs w:val="24"/>
          <w:lang w:val="es-ES_tradnl" w:eastAsia="es-AR"/>
        </w:rPr>
        <w:t>Sucralfato</w:t>
      </w:r>
      <w:proofErr w:type="spellEnd"/>
      <w:r w:rsidRPr="00930281">
        <w:rPr>
          <w:rFonts w:ascii="Times New Roman" w:eastAsia="Times New Roman" w:hAnsi="Times New Roman" w:cs="Times New Roman"/>
          <w:b/>
          <w:bCs/>
          <w:color w:val="000000"/>
          <w:sz w:val="24"/>
          <w:szCs w:val="24"/>
          <w:lang w:val="es-ES_tradnl" w:eastAsia="es-AR"/>
        </w:rPr>
        <w:t xml:space="preserve"> (en dosis superiores a 2g): posible disminución de la absorción oral de la </w:t>
      </w:r>
      <w:proofErr w:type="spellStart"/>
      <w:r w:rsidRPr="00930281">
        <w:rPr>
          <w:rFonts w:ascii="Times New Roman" w:eastAsia="Times New Roman" w:hAnsi="Times New Roman" w:cs="Times New Roman"/>
          <w:b/>
          <w:bCs/>
          <w:color w:val="000000"/>
          <w:sz w:val="24"/>
          <w:szCs w:val="24"/>
          <w:lang w:val="es-ES_tradnl" w:eastAsia="es-AR"/>
        </w:rPr>
        <w:t>ranitidina</w:t>
      </w:r>
      <w:proofErr w:type="spellEnd"/>
      <w:r w:rsidRPr="00930281">
        <w:rPr>
          <w:rFonts w:ascii="Times New Roman" w:eastAsia="Times New Roman" w:hAnsi="Times New Roman" w:cs="Times New Roman"/>
          <w:b/>
          <w:bCs/>
          <w:color w:val="000000"/>
          <w:sz w:val="24"/>
          <w:szCs w:val="24"/>
          <w:lang w:val="es-ES_tradnl" w:eastAsia="es-AR"/>
        </w:rPr>
        <w:t>. Espaciar 2hs la administración</w:t>
      </w:r>
      <w:r w:rsidRPr="00930281">
        <w:rPr>
          <w:rFonts w:ascii="Times New Roman" w:eastAsia="Times New Roman" w:hAnsi="Times New Roman" w:cs="Times New Roman"/>
          <w:b/>
          <w:bCs/>
          <w:color w:val="000000"/>
          <w:sz w:val="28"/>
          <w:szCs w:val="28"/>
          <w:lang w:val="es-ES_tradnl" w:eastAsia="es-AR"/>
        </w:rPr>
        <w:t>.</w:t>
      </w:r>
    </w:p>
    <w:p w:rsidR="00930281" w:rsidRPr="00930281" w:rsidRDefault="00930281" w:rsidP="00930281">
      <w:pPr>
        <w:shd w:val="clear" w:color="auto" w:fill="FFFFFF"/>
        <w:spacing w:line="240" w:lineRule="auto"/>
        <w:ind w:left="340" w:firstLine="0"/>
        <w:rPr>
          <w:rFonts w:ascii="Times New Roman" w:eastAsia="Times New Roman" w:hAnsi="Times New Roman" w:cs="Times New Roman"/>
          <w:color w:val="000000"/>
          <w:sz w:val="27"/>
          <w:szCs w:val="27"/>
          <w:lang w:eastAsia="es-AR"/>
        </w:rPr>
      </w:pPr>
      <w:r w:rsidRPr="00930281">
        <w:rPr>
          <w:rFonts w:ascii="Times New Roman" w:eastAsia="Times New Roman" w:hAnsi="Times New Roman" w:cs="Times New Roman"/>
          <w:color w:val="000000"/>
          <w:sz w:val="24"/>
          <w:szCs w:val="24"/>
          <w:lang w:val="es-ES_tradnl" w:eastAsia="es-AR"/>
        </w:rPr>
        <w:t>*      Vitamina B12 (</w:t>
      </w:r>
      <w:proofErr w:type="spellStart"/>
      <w:r w:rsidRPr="00930281">
        <w:rPr>
          <w:rFonts w:ascii="Times New Roman" w:eastAsia="Times New Roman" w:hAnsi="Times New Roman" w:cs="Times New Roman"/>
          <w:color w:val="000000"/>
          <w:sz w:val="24"/>
          <w:szCs w:val="24"/>
          <w:lang w:val="es-ES_tradnl" w:eastAsia="es-AR"/>
        </w:rPr>
        <w:t>cianocobalamina</w:t>
      </w:r>
      <w:proofErr w:type="spellEnd"/>
      <w:r w:rsidRPr="00930281">
        <w:rPr>
          <w:rFonts w:ascii="Times New Roman" w:eastAsia="Times New Roman" w:hAnsi="Times New Roman" w:cs="Times New Roman"/>
          <w:color w:val="000000"/>
          <w:sz w:val="24"/>
          <w:szCs w:val="24"/>
          <w:lang w:val="es-ES_tradnl" w:eastAsia="es-AR"/>
        </w:rPr>
        <w:t>): posible disminución de su absorción oral, debido a un aumento del pH gástrico.</w:t>
      </w:r>
    </w:p>
    <w:p w:rsidR="00930281" w:rsidRDefault="00930281" w:rsidP="00930281">
      <w:pPr>
        <w:rPr>
          <w:color w:val="000000"/>
        </w:rPr>
      </w:pPr>
      <w:proofErr w:type="spellStart"/>
      <w:r>
        <w:rPr>
          <w:b/>
          <w:bCs/>
          <w:color w:val="000000"/>
          <w:u w:val="single"/>
        </w:rPr>
        <w:t>Prolilaxis</w:t>
      </w:r>
      <w:proofErr w:type="spellEnd"/>
      <w:r>
        <w:rPr>
          <w:b/>
          <w:bCs/>
          <w:color w:val="000000"/>
          <w:u w:val="single"/>
        </w:rPr>
        <w:t xml:space="preserve"> y/o tratamiento de la úlcera por estrés </w:t>
      </w:r>
      <w:proofErr w:type="gramStart"/>
      <w:r>
        <w:rPr>
          <w:b/>
          <w:bCs/>
          <w:color w:val="000000"/>
          <w:u w:val="single"/>
        </w:rPr>
        <w:t>( continuación</w:t>
      </w:r>
      <w:proofErr w:type="gramEnd"/>
      <w:r>
        <w:rPr>
          <w:b/>
          <w:bCs/>
          <w:color w:val="000000"/>
          <w:u w:val="single"/>
        </w:rPr>
        <w:t xml:space="preserve"> )</w:t>
      </w:r>
    </w:p>
    <w:p w:rsidR="00930281" w:rsidRDefault="00930281" w:rsidP="00930281">
      <w:pPr>
        <w:rPr>
          <w:color w:val="000000"/>
        </w:rPr>
      </w:pPr>
      <w:r>
        <w:rPr>
          <w:b/>
          <w:bCs/>
          <w:color w:val="000000"/>
          <w:u w:val="single"/>
          <w:lang w:val="es-ES_tradnl"/>
        </w:rPr>
        <w:t>SUCRALFATO</w:t>
      </w:r>
    </w:p>
    <w:p w:rsidR="00930281" w:rsidRDefault="00930281" w:rsidP="00930281">
      <w:pPr>
        <w:spacing w:line="360" w:lineRule="atLeast"/>
        <w:ind w:left="340" w:hanging="340"/>
        <w:rPr>
          <w:color w:val="000000"/>
        </w:rPr>
      </w:pPr>
      <w:r>
        <w:rPr>
          <w:color w:val="000000"/>
          <w:sz w:val="14"/>
          <w:szCs w:val="14"/>
          <w:lang w:val="es-ES_tradnl"/>
        </w:rPr>
        <w:t>           </w:t>
      </w:r>
      <w:r>
        <w:rPr>
          <w:rStyle w:val="apple-converted-space"/>
          <w:color w:val="000000"/>
          <w:sz w:val="14"/>
          <w:szCs w:val="14"/>
          <w:lang w:val="es-ES_tradnl"/>
        </w:rPr>
        <w:t> </w:t>
      </w:r>
      <w:r>
        <w:rPr>
          <w:b/>
          <w:bCs/>
          <w:color w:val="000000"/>
          <w:lang w:val="es-ES_tradnl"/>
        </w:rPr>
        <w:t>NOMBRE GENÉRICO:</w:t>
      </w:r>
      <w:r>
        <w:rPr>
          <w:rStyle w:val="apple-converted-space"/>
          <w:b/>
          <w:bCs/>
          <w:color w:val="000000"/>
          <w:lang w:val="es-ES_tradnl"/>
        </w:rPr>
        <w:t> </w:t>
      </w:r>
      <w:r>
        <w:rPr>
          <w:color w:val="000000"/>
          <w:lang w:val="es-ES_tradnl"/>
        </w:rPr>
        <w:t xml:space="preserve">DCI: </w:t>
      </w:r>
      <w:proofErr w:type="spellStart"/>
      <w:r>
        <w:rPr>
          <w:color w:val="000000"/>
          <w:lang w:val="es-ES_tradnl"/>
        </w:rPr>
        <w:t>sucralfate</w:t>
      </w:r>
      <w:proofErr w:type="spellEnd"/>
      <w:r>
        <w:rPr>
          <w:color w:val="000000"/>
          <w:lang w:val="es-ES_tradnl"/>
        </w:rPr>
        <w:t xml:space="preserve">. SINÓNIMO: </w:t>
      </w:r>
      <w:proofErr w:type="spellStart"/>
      <w:r>
        <w:rPr>
          <w:color w:val="000000"/>
          <w:lang w:val="es-ES_tradnl"/>
        </w:rPr>
        <w:t>sucralfato</w:t>
      </w:r>
      <w:proofErr w:type="spellEnd"/>
      <w:r>
        <w:rPr>
          <w:color w:val="000000"/>
          <w:lang w:val="es-ES_tradnl"/>
        </w:rPr>
        <w:t>.</w:t>
      </w:r>
    </w:p>
    <w:p w:rsidR="00930281" w:rsidRDefault="00930281" w:rsidP="00930281">
      <w:pPr>
        <w:spacing w:line="360" w:lineRule="atLeast"/>
        <w:ind w:left="340" w:hanging="340"/>
        <w:rPr>
          <w:color w:val="000000"/>
        </w:rPr>
      </w:pPr>
      <w:r>
        <w:rPr>
          <w:color w:val="000000"/>
          <w:sz w:val="14"/>
          <w:szCs w:val="14"/>
          <w:lang w:val="es-ES_tradnl"/>
        </w:rPr>
        <w:t>           </w:t>
      </w:r>
      <w:r>
        <w:rPr>
          <w:rStyle w:val="apple-converted-space"/>
          <w:color w:val="000000"/>
          <w:sz w:val="14"/>
          <w:szCs w:val="14"/>
          <w:lang w:val="es-ES_tradnl"/>
        </w:rPr>
        <w:t> </w:t>
      </w:r>
      <w:r>
        <w:rPr>
          <w:b/>
          <w:bCs/>
          <w:color w:val="000000"/>
          <w:lang w:val="es-ES_tradnl"/>
        </w:rPr>
        <w:t>CÓDIGO ATC:</w:t>
      </w:r>
      <w:r>
        <w:rPr>
          <w:rStyle w:val="apple-converted-space"/>
          <w:b/>
          <w:bCs/>
          <w:color w:val="000000"/>
          <w:lang w:val="es-ES_tradnl"/>
        </w:rPr>
        <w:t> </w:t>
      </w:r>
      <w:r>
        <w:rPr>
          <w:color w:val="000000"/>
          <w:lang w:val="es-ES_tradnl"/>
        </w:rPr>
        <w:t>A02BX02</w:t>
      </w:r>
    </w:p>
    <w:p w:rsidR="00930281" w:rsidRDefault="00930281" w:rsidP="00930281">
      <w:pPr>
        <w:ind w:left="340" w:hanging="340"/>
        <w:rPr>
          <w:color w:val="000000"/>
        </w:rPr>
      </w:pPr>
      <w:r>
        <w:rPr>
          <w:color w:val="000000"/>
          <w:sz w:val="14"/>
          <w:szCs w:val="14"/>
          <w:lang w:val="es-ES_tradnl"/>
        </w:rPr>
        <w:t>           </w:t>
      </w:r>
      <w:r>
        <w:rPr>
          <w:rStyle w:val="apple-converted-space"/>
          <w:color w:val="000000"/>
          <w:sz w:val="14"/>
          <w:szCs w:val="14"/>
          <w:lang w:val="es-ES_tradnl"/>
        </w:rPr>
        <w:t> </w:t>
      </w:r>
      <w:r>
        <w:rPr>
          <w:b/>
          <w:bCs/>
          <w:color w:val="000000"/>
          <w:lang w:val="es-ES_tradnl"/>
        </w:rPr>
        <w:t>CLASIFICACIÓN FARMACOLÓGICA:</w:t>
      </w:r>
    </w:p>
    <w:p w:rsidR="00930281" w:rsidRDefault="00930281" w:rsidP="00930281">
      <w:pPr>
        <w:ind w:firstLine="340"/>
        <w:rPr>
          <w:color w:val="000000"/>
        </w:rPr>
      </w:pPr>
      <w:proofErr w:type="spellStart"/>
      <w:r>
        <w:rPr>
          <w:color w:val="000000"/>
          <w:lang w:val="es-ES_tradnl"/>
        </w:rPr>
        <w:t>Antiulceroso</w:t>
      </w:r>
      <w:proofErr w:type="spellEnd"/>
      <w:r>
        <w:rPr>
          <w:color w:val="000000"/>
          <w:lang w:val="es-ES_tradnl"/>
        </w:rPr>
        <w:t>, protector de la mucosa gástrica.</w:t>
      </w:r>
    </w:p>
    <w:p w:rsidR="00930281" w:rsidRDefault="00930281" w:rsidP="00930281">
      <w:pPr>
        <w:rPr>
          <w:color w:val="000000"/>
        </w:rPr>
      </w:pPr>
      <w:r>
        <w:rPr>
          <w:color w:val="000000"/>
          <w:sz w:val="16"/>
          <w:szCs w:val="16"/>
          <w:lang w:val="es-ES_tradnl"/>
        </w:rPr>
        <w:t> </w:t>
      </w:r>
    </w:p>
    <w:p w:rsidR="00930281" w:rsidRDefault="00930281" w:rsidP="00930281">
      <w:pPr>
        <w:ind w:left="340" w:hanging="340"/>
        <w:rPr>
          <w:color w:val="000000"/>
        </w:rPr>
      </w:pPr>
      <w:r>
        <w:rPr>
          <w:color w:val="000000"/>
          <w:sz w:val="14"/>
          <w:szCs w:val="14"/>
          <w:lang w:val="es-ES_tradnl"/>
        </w:rPr>
        <w:t>           </w:t>
      </w:r>
      <w:r>
        <w:rPr>
          <w:rStyle w:val="apple-converted-space"/>
          <w:color w:val="000000"/>
          <w:sz w:val="14"/>
          <w:szCs w:val="14"/>
          <w:lang w:val="es-ES_tradnl"/>
        </w:rPr>
        <w:t> </w:t>
      </w:r>
      <w:r>
        <w:rPr>
          <w:b/>
          <w:bCs/>
          <w:color w:val="000000"/>
          <w:lang w:val="es-ES_tradnl"/>
        </w:rPr>
        <w:t>MECANISMO DE ACCIÓN:</w:t>
      </w:r>
    </w:p>
    <w:p w:rsidR="00930281" w:rsidRDefault="00930281" w:rsidP="00930281">
      <w:pPr>
        <w:ind w:left="340"/>
        <w:rPr>
          <w:color w:val="000000"/>
        </w:rPr>
      </w:pPr>
      <w:proofErr w:type="spellStart"/>
      <w:r>
        <w:rPr>
          <w:color w:val="000000"/>
          <w:lang w:val="es-ES_tradnl"/>
        </w:rPr>
        <w:t>Antiulceroso</w:t>
      </w:r>
      <w:proofErr w:type="spellEnd"/>
      <w:r>
        <w:rPr>
          <w:color w:val="000000"/>
          <w:lang w:val="es-ES_tradnl"/>
        </w:rPr>
        <w:t>, protector de la mucosa digestiva.</w:t>
      </w:r>
    </w:p>
    <w:p w:rsidR="00930281" w:rsidRDefault="00930281" w:rsidP="00930281">
      <w:pPr>
        <w:ind w:left="360"/>
        <w:rPr>
          <w:color w:val="000000"/>
        </w:rPr>
      </w:pPr>
      <w:r>
        <w:rPr>
          <w:b/>
          <w:bCs/>
          <w:color w:val="000000"/>
          <w:lang w:val="es-ES_tradnl"/>
        </w:rPr>
        <w:t xml:space="preserve">En el medio ácido del estómago (pH por debajo de 4) se polimeriza y produce un gel viscoso con carga negativa que se adhiere a las proteínas o restos </w:t>
      </w:r>
      <w:proofErr w:type="spellStart"/>
      <w:r>
        <w:rPr>
          <w:b/>
          <w:bCs/>
          <w:color w:val="000000"/>
          <w:lang w:val="es-ES_tradnl"/>
        </w:rPr>
        <w:t>protéicos</w:t>
      </w:r>
      <w:proofErr w:type="spellEnd"/>
      <w:r>
        <w:rPr>
          <w:b/>
          <w:bCs/>
          <w:color w:val="000000"/>
          <w:lang w:val="es-ES_tradnl"/>
        </w:rPr>
        <w:t xml:space="preserve"> del cráter ulceroso que están cargados negativamente, tapizándolo y protegiéndolo durante más de 6hs de la acción corrosiva del jugo gástrico en las áreas dañadas. Esta fijación a los cráteres se considera representativa del efecto terapéutico principal del </w:t>
      </w:r>
      <w:proofErr w:type="spellStart"/>
      <w:r>
        <w:rPr>
          <w:b/>
          <w:bCs/>
          <w:color w:val="000000"/>
          <w:lang w:val="es-ES_tradnl"/>
        </w:rPr>
        <w:t>sucralfato</w:t>
      </w:r>
      <w:proofErr w:type="spellEnd"/>
      <w:r>
        <w:rPr>
          <w:b/>
          <w:bCs/>
          <w:color w:val="000000"/>
          <w:lang w:val="es-ES_tradnl"/>
        </w:rPr>
        <w:t>.</w:t>
      </w:r>
    </w:p>
    <w:p w:rsidR="00930281" w:rsidRDefault="00930281" w:rsidP="00930281">
      <w:pPr>
        <w:ind w:left="360"/>
        <w:rPr>
          <w:color w:val="000000"/>
        </w:rPr>
      </w:pPr>
      <w:r>
        <w:rPr>
          <w:color w:val="000000"/>
          <w:lang w:val="es-ES_tradnl"/>
        </w:rPr>
        <w:t>En menor proporción forma una barrera viscosa adhesiva sobre la superficie de la mucosa intacta del estómago y duodeno. Además tiene un leve efecto antiácido.</w:t>
      </w:r>
    </w:p>
    <w:p w:rsidR="00930281" w:rsidRDefault="00930281" w:rsidP="00930281">
      <w:pPr>
        <w:ind w:left="360"/>
        <w:rPr>
          <w:color w:val="000000"/>
        </w:rPr>
      </w:pPr>
      <w:r>
        <w:rPr>
          <w:color w:val="000000"/>
          <w:lang w:val="es-ES_tradnl"/>
        </w:rPr>
        <w:lastRenderedPageBreak/>
        <w:t>Es también un inhibidor de la acción de pepsina y absorbe sales biliares.</w:t>
      </w:r>
    </w:p>
    <w:p w:rsidR="00930281" w:rsidRDefault="00930281" w:rsidP="00930281">
      <w:pPr>
        <w:rPr>
          <w:color w:val="000000"/>
          <w:sz w:val="27"/>
          <w:szCs w:val="27"/>
        </w:rPr>
      </w:pPr>
      <w:r>
        <w:rPr>
          <w:b/>
          <w:bCs/>
          <w:color w:val="000000"/>
          <w:lang w:val="es-ES_tradnl"/>
        </w:rPr>
        <w:br w:type="textWrapping" w:clear="all"/>
        <w:t>PROPIEDADES QUÍMICAS:</w:t>
      </w:r>
    </w:p>
    <w:p w:rsidR="00930281" w:rsidRDefault="00930281" w:rsidP="00930281">
      <w:pPr>
        <w:ind w:left="340"/>
        <w:rPr>
          <w:color w:val="000000"/>
          <w:sz w:val="24"/>
          <w:szCs w:val="24"/>
        </w:rPr>
      </w:pPr>
      <w:r>
        <w:rPr>
          <w:color w:val="000000"/>
          <w:lang w:val="es-ES_tradnl"/>
        </w:rPr>
        <w:t xml:space="preserve">El complejo de </w:t>
      </w:r>
      <w:proofErr w:type="spellStart"/>
      <w:r>
        <w:rPr>
          <w:color w:val="000000"/>
          <w:lang w:val="es-ES_tradnl"/>
        </w:rPr>
        <w:t>sucralfato</w:t>
      </w:r>
      <w:proofErr w:type="spellEnd"/>
      <w:r>
        <w:rPr>
          <w:color w:val="000000"/>
          <w:lang w:val="es-ES_tradnl"/>
        </w:rPr>
        <w:t xml:space="preserve"> está formado por el </w:t>
      </w:r>
      <w:proofErr w:type="spellStart"/>
      <w:r>
        <w:rPr>
          <w:color w:val="000000"/>
          <w:lang w:val="es-ES_tradnl"/>
        </w:rPr>
        <w:t>ortosulfato</w:t>
      </w:r>
      <w:proofErr w:type="spellEnd"/>
      <w:r>
        <w:rPr>
          <w:color w:val="000000"/>
          <w:lang w:val="es-ES_tradnl"/>
        </w:rPr>
        <w:t xml:space="preserve"> de sacarosa y el hidróxido de </w:t>
      </w:r>
      <w:proofErr w:type="spellStart"/>
      <w:r>
        <w:rPr>
          <w:color w:val="000000"/>
          <w:lang w:val="es-ES_tradnl"/>
        </w:rPr>
        <w:t>polialuminio</w:t>
      </w:r>
      <w:proofErr w:type="spellEnd"/>
      <w:r>
        <w:rPr>
          <w:color w:val="000000"/>
          <w:lang w:val="es-ES_tradnl"/>
        </w:rPr>
        <w:t xml:space="preserve">. Cuando el pH está por debajo de 4, ocurre polimerización extensa y enlace cruzado del </w:t>
      </w:r>
      <w:proofErr w:type="spellStart"/>
      <w:r>
        <w:rPr>
          <w:color w:val="000000"/>
          <w:lang w:val="es-ES_tradnl"/>
        </w:rPr>
        <w:t>sucralfato</w:t>
      </w:r>
      <w:proofErr w:type="spellEnd"/>
      <w:r>
        <w:rPr>
          <w:color w:val="000000"/>
          <w:lang w:val="es-ES_tradnl"/>
        </w:rPr>
        <w:t xml:space="preserve"> para formar un gel de color blanco amarillento muy pegajoso y viscoso. La reacción sostenida con el ácido consume poco a poco el hidróxido de </w:t>
      </w:r>
      <w:proofErr w:type="spellStart"/>
      <w:r>
        <w:rPr>
          <w:color w:val="000000"/>
          <w:lang w:val="es-ES_tradnl"/>
        </w:rPr>
        <w:t>polialuminio</w:t>
      </w:r>
      <w:proofErr w:type="spellEnd"/>
      <w:r>
        <w:rPr>
          <w:color w:val="000000"/>
          <w:lang w:val="es-ES_tradnl"/>
        </w:rPr>
        <w:t xml:space="preserve"> hasta que quedan completamente liberadas del aluminio cierta cantidad de mitades de </w:t>
      </w:r>
      <w:proofErr w:type="spellStart"/>
      <w:r>
        <w:rPr>
          <w:color w:val="000000"/>
          <w:lang w:val="es-ES_tradnl"/>
        </w:rPr>
        <w:t>ortosulfato</w:t>
      </w:r>
      <w:proofErr w:type="spellEnd"/>
      <w:r>
        <w:rPr>
          <w:color w:val="000000"/>
          <w:lang w:val="es-ES_tradnl"/>
        </w:rPr>
        <w:t xml:space="preserve"> de sacarosa.</w:t>
      </w:r>
    </w:p>
    <w:p w:rsidR="00930281" w:rsidRDefault="00930281" w:rsidP="00930281">
      <w:pPr>
        <w:rPr>
          <w:color w:val="000000"/>
          <w:sz w:val="27"/>
          <w:szCs w:val="27"/>
        </w:rPr>
      </w:pPr>
      <w:r>
        <w:rPr>
          <w:color w:val="000000"/>
          <w:lang w:val="es-ES_tradnl"/>
        </w:rPr>
        <w:br w:type="textWrapping" w:clear="all"/>
      </w:r>
      <w:r>
        <w:rPr>
          <w:color w:val="000000"/>
          <w:sz w:val="14"/>
          <w:szCs w:val="14"/>
          <w:lang w:val="es-ES_tradnl"/>
        </w:rPr>
        <w:t> </w:t>
      </w:r>
      <w:r>
        <w:rPr>
          <w:rStyle w:val="apple-converted-space"/>
          <w:color w:val="000000"/>
          <w:sz w:val="14"/>
          <w:szCs w:val="14"/>
          <w:lang w:val="es-ES_tradnl"/>
        </w:rPr>
        <w:t> </w:t>
      </w:r>
      <w:r>
        <w:rPr>
          <w:b/>
          <w:bCs/>
          <w:color w:val="000000"/>
          <w:lang w:val="es-ES_tradnl"/>
        </w:rPr>
        <w:t>INDICACIONES TERAPÉUTICAS:</w:t>
      </w:r>
    </w:p>
    <w:p w:rsidR="00930281" w:rsidRDefault="00930281" w:rsidP="00930281">
      <w:pPr>
        <w:ind w:left="340"/>
        <w:rPr>
          <w:color w:val="000000"/>
          <w:sz w:val="24"/>
          <w:szCs w:val="24"/>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gramStart"/>
      <w:r>
        <w:rPr>
          <w:color w:val="000000"/>
          <w:lang w:val="es-ES_tradnl"/>
        </w:rPr>
        <w:t>úlcera</w:t>
      </w:r>
      <w:proofErr w:type="gramEnd"/>
      <w:r>
        <w:rPr>
          <w:color w:val="000000"/>
          <w:lang w:val="es-ES_tradnl"/>
        </w:rPr>
        <w:t xml:space="preserve"> duodenal (profilaxis): se usa en la prevención de las recidivas de úlcera duodenal.</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r>
        <w:rPr>
          <w:b/>
          <w:bCs/>
          <w:color w:val="000000"/>
          <w:lang w:val="es-ES_tradnl"/>
        </w:rPr>
        <w:t xml:space="preserve">lesiones de </w:t>
      </w:r>
      <w:proofErr w:type="gramStart"/>
      <w:r>
        <w:rPr>
          <w:b/>
          <w:bCs/>
          <w:color w:val="000000"/>
          <w:lang w:val="es-ES_tradnl"/>
        </w:rPr>
        <w:t>la mucosa relacionadas</w:t>
      </w:r>
      <w:proofErr w:type="gramEnd"/>
      <w:r>
        <w:rPr>
          <w:b/>
          <w:bCs/>
          <w:color w:val="000000"/>
          <w:lang w:val="es-ES_tradnl"/>
        </w:rPr>
        <w:t xml:space="preserve"> con el estrés (profilaxis y tratamiento): se usa en la prevención y tratamiento de la hemorragia gastrointestinal debida a úlcera de estrés en enfermos graves. Como el preparado se activa por ácido, es más eficaz cuando se da antes de las comidas, que después de las mismas. Por los mismos motivos, el </w:t>
      </w:r>
      <w:proofErr w:type="spellStart"/>
      <w:r>
        <w:rPr>
          <w:b/>
          <w:bCs/>
          <w:color w:val="000000"/>
          <w:lang w:val="es-ES_tradnl"/>
        </w:rPr>
        <w:t>sucralfato</w:t>
      </w:r>
      <w:proofErr w:type="spellEnd"/>
      <w:r>
        <w:rPr>
          <w:b/>
          <w:bCs/>
          <w:color w:val="000000"/>
          <w:lang w:val="es-ES_tradnl"/>
        </w:rPr>
        <w:t xml:space="preserve"> no debe administrarse dentro de los 30 minutos que siguen a la administración de antiácidos.</w:t>
      </w:r>
    </w:p>
    <w:p w:rsidR="00930281" w:rsidRDefault="00930281" w:rsidP="00930281">
      <w:pPr>
        <w:rPr>
          <w:color w:val="000000"/>
          <w:sz w:val="27"/>
          <w:szCs w:val="27"/>
        </w:rPr>
      </w:pPr>
      <w:r>
        <w:rPr>
          <w:b/>
          <w:bCs/>
          <w:color w:val="000000"/>
          <w:lang w:val="es-ES_tradnl"/>
        </w:rPr>
        <w:br w:type="textWrapping" w:clear="all"/>
        <w:t>DOSIS:</w:t>
      </w:r>
      <w:r>
        <w:rPr>
          <w:rStyle w:val="apple-converted-space"/>
          <w:color w:val="000000"/>
          <w:sz w:val="27"/>
          <w:szCs w:val="27"/>
        </w:rPr>
        <w:t> </w:t>
      </w:r>
      <w:r>
        <w:rPr>
          <w:b/>
          <w:bCs/>
          <w:color w:val="000000"/>
          <w:lang w:val="es-ES_tradnl"/>
        </w:rPr>
        <w:t> </w:t>
      </w:r>
    </w:p>
    <w:p w:rsidR="00930281" w:rsidRDefault="00930281" w:rsidP="00930281">
      <w:pPr>
        <w:ind w:firstLine="340"/>
        <w:rPr>
          <w:color w:val="000000"/>
          <w:sz w:val="24"/>
          <w:szCs w:val="24"/>
        </w:rPr>
      </w:pPr>
      <w:r>
        <w:rPr>
          <w:color w:val="000000"/>
          <w:u w:val="single"/>
          <w:lang w:val="es-ES_tradnl"/>
        </w:rPr>
        <w:t>Adultos</w:t>
      </w:r>
      <w:r>
        <w:rPr>
          <w:rStyle w:val="apple-converted-space"/>
          <w:color w:val="000000"/>
          <w:lang w:val="es-ES_tradnl"/>
        </w:rPr>
        <w:t> </w:t>
      </w:r>
      <w:r>
        <w:rPr>
          <w:color w:val="000000"/>
          <w:lang w:val="es-ES_tradnl"/>
        </w:rPr>
        <w:t>- oral:</w:t>
      </w:r>
    </w:p>
    <w:p w:rsidR="00930281" w:rsidRDefault="00930281" w:rsidP="00930281">
      <w:pPr>
        <w:ind w:left="340" w:firstLine="20"/>
        <w:rPr>
          <w:color w:val="000000"/>
        </w:rPr>
      </w:pPr>
      <w:r>
        <w:rPr>
          <w:b/>
          <w:bCs/>
          <w:color w:val="000000"/>
          <w:lang w:val="es-ES_tradnl"/>
        </w:rPr>
        <w:t>En la profilaxis de la úlcera por estrés se recomienda 1g seis veces al día.</w:t>
      </w:r>
    </w:p>
    <w:p w:rsidR="00930281" w:rsidRDefault="00930281" w:rsidP="00930281">
      <w:pPr>
        <w:ind w:left="360"/>
        <w:rPr>
          <w:color w:val="000000"/>
        </w:rPr>
      </w:pPr>
      <w:r>
        <w:rPr>
          <w:color w:val="000000"/>
          <w:lang w:val="es-ES_tradnl"/>
        </w:rPr>
        <w:t>Dosis máxima 8g diarios</w:t>
      </w:r>
    </w:p>
    <w:p w:rsidR="00930281" w:rsidRDefault="00930281" w:rsidP="00930281">
      <w:pPr>
        <w:ind w:left="360"/>
        <w:rPr>
          <w:color w:val="000000"/>
        </w:rPr>
      </w:pPr>
      <w:r>
        <w:rPr>
          <w:color w:val="000000"/>
          <w:lang w:val="es-ES_tradnl"/>
        </w:rPr>
        <w:t> </w:t>
      </w:r>
    </w:p>
    <w:p w:rsidR="00930281" w:rsidRDefault="00930281" w:rsidP="00930281">
      <w:pPr>
        <w:ind w:firstLine="360"/>
        <w:rPr>
          <w:color w:val="000000"/>
        </w:rPr>
      </w:pPr>
      <w:r>
        <w:rPr>
          <w:b/>
          <w:bCs/>
          <w:color w:val="000000"/>
          <w:u w:val="single"/>
          <w:lang w:val="es-ES_tradnl"/>
        </w:rPr>
        <w:t>Niños</w:t>
      </w:r>
      <w:r>
        <w:rPr>
          <w:b/>
          <w:bCs/>
          <w:color w:val="000000"/>
          <w:lang w:val="es-ES_tradnl"/>
        </w:rPr>
        <w:t>: no se recomienda su uso.</w:t>
      </w:r>
    </w:p>
    <w:p w:rsidR="00930281" w:rsidRDefault="00930281" w:rsidP="00930281">
      <w:pPr>
        <w:rPr>
          <w:color w:val="000000"/>
          <w:sz w:val="27"/>
          <w:szCs w:val="27"/>
        </w:rPr>
      </w:pPr>
      <w:r>
        <w:rPr>
          <w:color w:val="000000"/>
          <w:lang w:val="es-ES_tradnl"/>
        </w:rPr>
        <w:lastRenderedPageBreak/>
        <w:br w:type="textWrapping" w:clear="all"/>
      </w:r>
      <w:r>
        <w:rPr>
          <w:color w:val="000000"/>
          <w:sz w:val="14"/>
          <w:szCs w:val="14"/>
          <w:lang w:val="es-ES_tradnl"/>
        </w:rPr>
        <w:t>   </w:t>
      </w:r>
      <w:r>
        <w:rPr>
          <w:rStyle w:val="apple-converted-space"/>
          <w:color w:val="000000"/>
          <w:sz w:val="14"/>
          <w:szCs w:val="14"/>
          <w:lang w:val="es-ES_tradnl"/>
        </w:rPr>
        <w:t> </w:t>
      </w:r>
      <w:r>
        <w:rPr>
          <w:b/>
          <w:bCs/>
          <w:color w:val="000000"/>
          <w:lang w:val="es-ES_tradnl"/>
        </w:rPr>
        <w:t>CONDICIONES Y VÍA DE ADMINISTRACIÓN:</w:t>
      </w:r>
    </w:p>
    <w:p w:rsidR="00930281" w:rsidRDefault="00930281" w:rsidP="00930281">
      <w:pPr>
        <w:pStyle w:val="Sangra2detindependiente"/>
        <w:rPr>
          <w:color w:val="000000"/>
          <w:sz w:val="27"/>
          <w:szCs w:val="27"/>
        </w:rPr>
      </w:pPr>
      <w:r>
        <w:rPr>
          <w:color w:val="000000"/>
          <w:sz w:val="20"/>
          <w:szCs w:val="20"/>
          <w:lang w:val="es-ES_tradnl"/>
        </w:rPr>
        <w:t>Los comprimidos deben disolverse en medio vaso de agua.</w:t>
      </w:r>
    </w:p>
    <w:p w:rsidR="00930281" w:rsidRDefault="00930281" w:rsidP="00930281">
      <w:pPr>
        <w:pStyle w:val="Sangra2detindependiente"/>
        <w:rPr>
          <w:color w:val="000000"/>
          <w:sz w:val="27"/>
          <w:szCs w:val="27"/>
        </w:rPr>
      </w:pPr>
      <w:r>
        <w:rPr>
          <w:color w:val="000000"/>
          <w:sz w:val="20"/>
          <w:szCs w:val="20"/>
          <w:lang w:val="es-ES_tradnl"/>
        </w:rPr>
        <w:t>Debe tomarse con el estómago vacío 1 h antes de las comidas y al acostarse para que su eficacia sea máxima.</w:t>
      </w:r>
    </w:p>
    <w:p w:rsidR="00930281" w:rsidRDefault="00930281" w:rsidP="00930281">
      <w:pPr>
        <w:pStyle w:val="Sangra2detindependiente"/>
        <w:rPr>
          <w:color w:val="000000"/>
          <w:sz w:val="27"/>
          <w:szCs w:val="27"/>
        </w:rPr>
      </w:pPr>
      <w:r>
        <w:rPr>
          <w:color w:val="000000"/>
          <w:sz w:val="20"/>
          <w:szCs w:val="20"/>
          <w:lang w:val="es-ES_tradnl"/>
        </w:rPr>
        <w:t>La dosis omitida debe tomarse lo antes posible; no tomarla si faltara poco tiempo para la dosis siguiente, no duplicar las dosis.</w:t>
      </w:r>
    </w:p>
    <w:p w:rsidR="00930281" w:rsidRDefault="00930281" w:rsidP="00930281">
      <w:pPr>
        <w:rPr>
          <w:color w:val="000000"/>
          <w:sz w:val="27"/>
          <w:szCs w:val="27"/>
        </w:rPr>
      </w:pPr>
      <w:r>
        <w:rPr>
          <w:color w:val="000000"/>
          <w:lang w:val="es-ES_tradnl"/>
        </w:rPr>
        <w:br w:type="textWrapping" w:clear="all"/>
      </w:r>
      <w:r>
        <w:rPr>
          <w:color w:val="000000"/>
          <w:sz w:val="14"/>
          <w:szCs w:val="14"/>
          <w:lang w:val="es-ES_tradnl"/>
        </w:rPr>
        <w:t> </w:t>
      </w:r>
      <w:r>
        <w:rPr>
          <w:rStyle w:val="apple-converted-space"/>
          <w:color w:val="000000"/>
          <w:sz w:val="14"/>
          <w:szCs w:val="14"/>
          <w:lang w:val="es-ES_tradnl"/>
        </w:rPr>
        <w:t> </w:t>
      </w:r>
      <w:r>
        <w:rPr>
          <w:b/>
          <w:bCs/>
          <w:color w:val="000000"/>
          <w:lang w:val="es-ES_tradnl"/>
        </w:rPr>
        <w:t>ENVASADO Y ALMACENAMIENTO:</w:t>
      </w:r>
    </w:p>
    <w:p w:rsidR="00930281" w:rsidRDefault="00930281" w:rsidP="00930281">
      <w:pPr>
        <w:ind w:left="340"/>
        <w:rPr>
          <w:color w:val="000000"/>
          <w:sz w:val="24"/>
          <w:szCs w:val="24"/>
        </w:rPr>
      </w:pPr>
      <w:r>
        <w:rPr>
          <w:color w:val="000000"/>
          <w:lang w:val="es-ES_tradnl"/>
        </w:rPr>
        <w:t>Mantener por debajo de 40ºC, preferiblemente entre 15 y 30ºC, en envases con cierre ajustado, a menos que el fabricante lo especifique de otra manera. Evitar la congelación.</w:t>
      </w:r>
    </w:p>
    <w:p w:rsidR="00930281" w:rsidRDefault="00930281" w:rsidP="00930281">
      <w:pPr>
        <w:rPr>
          <w:color w:val="000000"/>
          <w:sz w:val="27"/>
          <w:szCs w:val="27"/>
        </w:rPr>
      </w:pPr>
      <w:r>
        <w:rPr>
          <w:color w:val="000000"/>
          <w:lang w:val="es-ES_tradnl"/>
        </w:rPr>
        <w:br w:type="textWrapping" w:clear="all"/>
      </w:r>
      <w:r>
        <w:rPr>
          <w:b/>
          <w:bCs/>
          <w:color w:val="000000"/>
          <w:lang w:val="es-ES_tradnl"/>
        </w:rPr>
        <w:t>BIODISPONIBILIDAD Y FARMACOCINÉTICA:</w:t>
      </w:r>
    </w:p>
    <w:p w:rsidR="00930281" w:rsidRDefault="00930281" w:rsidP="00930281">
      <w:pPr>
        <w:ind w:left="340"/>
        <w:rPr>
          <w:color w:val="000000"/>
          <w:sz w:val="24"/>
          <w:szCs w:val="24"/>
        </w:rPr>
      </w:pPr>
      <w:r>
        <w:rPr>
          <w:color w:val="000000"/>
          <w:lang w:val="es-ES_tradnl"/>
        </w:rPr>
        <w:t xml:space="preserve">Vía (oral): se absorbe en una cantidad mínima (&lt;5%). La presencia de alimentos puede disminuir su acción. El tiempo preciso para que aparezca la acción es &lt;1 hora y la duración de la misma es de aproximadamente 6 </w:t>
      </w:r>
      <w:proofErr w:type="spellStart"/>
      <w:r>
        <w:rPr>
          <w:color w:val="000000"/>
          <w:lang w:val="es-ES_tradnl"/>
        </w:rPr>
        <w:t>hs</w:t>
      </w:r>
      <w:proofErr w:type="spellEnd"/>
      <w:r>
        <w:rPr>
          <w:color w:val="000000"/>
          <w:lang w:val="es-ES_tradnl"/>
        </w:rPr>
        <w:t xml:space="preserve">. Se elimina mayoritariamente (90%) con las heces en forma inalterada, la mínima parte absorbida en forma de ión aluminio y </w:t>
      </w:r>
      <w:proofErr w:type="spellStart"/>
      <w:r>
        <w:rPr>
          <w:color w:val="000000"/>
          <w:lang w:val="es-ES_tradnl"/>
        </w:rPr>
        <w:t>sucrosa</w:t>
      </w:r>
      <w:proofErr w:type="spellEnd"/>
      <w:r>
        <w:rPr>
          <w:color w:val="000000"/>
          <w:lang w:val="es-ES_tradnl"/>
        </w:rPr>
        <w:t xml:space="preserve"> sulfato se excreta por orina en forma inalterada.</w:t>
      </w:r>
    </w:p>
    <w:p w:rsidR="00930281" w:rsidRDefault="00930281" w:rsidP="00930281">
      <w:pPr>
        <w:rPr>
          <w:color w:val="000000"/>
          <w:sz w:val="27"/>
          <w:szCs w:val="27"/>
        </w:rPr>
      </w:pPr>
      <w:r>
        <w:rPr>
          <w:color w:val="000000"/>
          <w:lang w:val="es-ES_tradnl"/>
        </w:rPr>
        <w:br w:type="textWrapping" w:clear="all"/>
      </w:r>
      <w:r>
        <w:rPr>
          <w:b/>
          <w:bCs/>
          <w:color w:val="000000"/>
          <w:lang w:val="es-ES_tradnl"/>
        </w:rPr>
        <w:t>EFECTOS ADVERSOS Y TOXICIDAD:</w:t>
      </w:r>
    </w:p>
    <w:p w:rsidR="00930281" w:rsidRDefault="00930281" w:rsidP="00930281">
      <w:pPr>
        <w:ind w:left="340"/>
        <w:rPr>
          <w:color w:val="000000"/>
          <w:sz w:val="24"/>
          <w:szCs w:val="24"/>
        </w:rPr>
      </w:pPr>
      <w:r>
        <w:rPr>
          <w:color w:val="000000"/>
          <w:lang w:val="es-ES_tradnl"/>
        </w:rPr>
        <w:t xml:space="preserve">Los efectos adversos de </w:t>
      </w:r>
      <w:proofErr w:type="spellStart"/>
      <w:r>
        <w:rPr>
          <w:color w:val="000000"/>
          <w:lang w:val="es-ES_tradnl"/>
        </w:rPr>
        <w:t>sucralfato</w:t>
      </w:r>
      <w:proofErr w:type="spellEnd"/>
      <w:r>
        <w:rPr>
          <w:color w:val="000000"/>
          <w:lang w:val="es-ES_tradnl"/>
        </w:rPr>
        <w:t xml:space="preserve"> son, en general, leves y transitorios. El 4-5% de los pacientes experimentan algún tipo de efecto adverso, aunque raramente se ven obligados a suspender el tratamiento. Las reacciones adversas más características son: ocasionalmente (1-9%): estreñimiento. Raramente (&lt;1%): diarrea, náuseas, vómitos, gastralgia, flatulencia, sequedad de boca, erupciones exantemáticas, prurito, cefalea, </w:t>
      </w:r>
      <w:r>
        <w:rPr>
          <w:color w:val="000000"/>
          <w:lang w:val="es-ES_tradnl"/>
        </w:rPr>
        <w:lastRenderedPageBreak/>
        <w:t>mareos, somnolencia, dolor de cabeza, dolor de espalda, vértigo, calambres o dolor de estómago.</w:t>
      </w:r>
    </w:p>
    <w:p w:rsidR="00930281" w:rsidRDefault="00930281" w:rsidP="00930281">
      <w:pPr>
        <w:ind w:left="360"/>
        <w:rPr>
          <w:color w:val="000000"/>
        </w:rPr>
      </w:pPr>
      <w:r>
        <w:rPr>
          <w:color w:val="000000"/>
          <w:lang w:val="es-ES_tradnl"/>
        </w:rPr>
        <w:t>La incidencia de somnolencia que progresa a crisis convulsivas en pacientes con insuficiencia renal puede indicar toxicidad por aluminio.</w:t>
      </w:r>
    </w:p>
    <w:p w:rsidR="00930281" w:rsidRDefault="00930281" w:rsidP="00930281">
      <w:pPr>
        <w:rPr>
          <w:color w:val="000000"/>
          <w:sz w:val="27"/>
          <w:szCs w:val="27"/>
        </w:rPr>
      </w:pPr>
      <w:r>
        <w:rPr>
          <w:b/>
          <w:bCs/>
          <w:color w:val="000000"/>
          <w:lang w:val="es-ES_tradnl"/>
        </w:rPr>
        <w:br w:type="textWrapping" w:clear="all"/>
        <w:t>CONTRAINDICACIONES Y PRECAUCIONES:</w:t>
      </w:r>
    </w:p>
    <w:p w:rsidR="00930281" w:rsidRDefault="00930281" w:rsidP="00930281">
      <w:pPr>
        <w:ind w:left="340"/>
        <w:rPr>
          <w:color w:val="000000"/>
          <w:sz w:val="24"/>
          <w:szCs w:val="24"/>
        </w:rPr>
      </w:pPr>
      <w:r>
        <w:rPr>
          <w:color w:val="000000"/>
          <w:lang w:val="es-ES_tradnl"/>
        </w:rPr>
        <w:t>Tratamientos prolongados en pacientes con insuficiencia renal, pueden originar acumulación del ión aluminio en el organismo (riesgo de empeoramiento de la osteoporosis, osteomalacia).</w:t>
      </w:r>
    </w:p>
    <w:p w:rsidR="00930281" w:rsidRDefault="00930281" w:rsidP="00930281">
      <w:pPr>
        <w:ind w:left="360"/>
        <w:rPr>
          <w:color w:val="000000"/>
        </w:rPr>
      </w:pPr>
      <w:r>
        <w:rPr>
          <w:color w:val="000000"/>
          <w:lang w:val="es-ES_tradnl"/>
        </w:rPr>
        <w:t xml:space="preserve">En enfermedad gastrointestinal obstructiva o disfagia puede aumentar el riesgo de formación de bezoar (sobre todo por administración de </w:t>
      </w:r>
      <w:proofErr w:type="spellStart"/>
      <w:r>
        <w:rPr>
          <w:color w:val="000000"/>
          <w:lang w:val="es-ES_tradnl"/>
        </w:rPr>
        <w:t>sucrafato</w:t>
      </w:r>
      <w:proofErr w:type="spellEnd"/>
      <w:r>
        <w:rPr>
          <w:color w:val="000000"/>
          <w:lang w:val="es-ES_tradnl"/>
        </w:rPr>
        <w:t xml:space="preserve"> por sonda nasogástrica) debido a las propiedades del </w:t>
      </w:r>
      <w:proofErr w:type="spellStart"/>
      <w:r>
        <w:rPr>
          <w:color w:val="000000"/>
          <w:lang w:val="es-ES_tradnl"/>
        </w:rPr>
        <w:t>sucralfato</w:t>
      </w:r>
      <w:proofErr w:type="spellEnd"/>
      <w:r>
        <w:rPr>
          <w:color w:val="000000"/>
          <w:lang w:val="es-ES_tradnl"/>
        </w:rPr>
        <w:t xml:space="preserve"> para unirse a </w:t>
      </w:r>
      <w:proofErr w:type="spellStart"/>
      <w:r>
        <w:rPr>
          <w:color w:val="000000"/>
          <w:lang w:val="es-ES_tradnl"/>
        </w:rPr>
        <w:t>proteinas</w:t>
      </w:r>
      <w:proofErr w:type="spellEnd"/>
      <w:r>
        <w:rPr>
          <w:color w:val="000000"/>
          <w:lang w:val="es-ES_tradnl"/>
        </w:rPr>
        <w:t>.</w:t>
      </w:r>
    </w:p>
    <w:p w:rsidR="00930281" w:rsidRDefault="00930281" w:rsidP="00930281">
      <w:pPr>
        <w:ind w:left="360"/>
        <w:rPr>
          <w:color w:val="000000"/>
        </w:rPr>
      </w:pPr>
      <w:r>
        <w:rPr>
          <w:color w:val="000000"/>
          <w:lang w:val="es-ES_tradnl"/>
        </w:rPr>
        <w:t>Embarazo: categoría B de la FDA.</w:t>
      </w:r>
      <w:r>
        <w:rPr>
          <w:rStyle w:val="apple-converted-space"/>
          <w:b/>
          <w:bCs/>
          <w:color w:val="000000"/>
          <w:lang w:val="es-ES_tradnl"/>
        </w:rPr>
        <w:t> </w:t>
      </w:r>
      <w:r>
        <w:rPr>
          <w:b/>
          <w:bCs/>
          <w:color w:val="000000"/>
          <w:lang w:val="es-ES_tradnl"/>
        </w:rPr>
        <w:t xml:space="preserve">La toxicidad potencial del </w:t>
      </w:r>
      <w:proofErr w:type="spellStart"/>
      <w:r>
        <w:rPr>
          <w:b/>
          <w:bCs/>
          <w:color w:val="000000"/>
          <w:lang w:val="es-ES_tradnl"/>
        </w:rPr>
        <w:t>sucralfato</w:t>
      </w:r>
      <w:proofErr w:type="spellEnd"/>
      <w:r>
        <w:rPr>
          <w:b/>
          <w:bCs/>
          <w:color w:val="000000"/>
          <w:lang w:val="es-ES_tradnl"/>
        </w:rPr>
        <w:t xml:space="preserve"> depende de su contenido en aluminio.</w:t>
      </w:r>
      <w:r>
        <w:rPr>
          <w:rStyle w:val="apple-converted-space"/>
          <w:color w:val="000000"/>
          <w:lang w:val="es-ES_tradnl"/>
        </w:rPr>
        <w:t> </w:t>
      </w:r>
      <w:r>
        <w:rPr>
          <w:color w:val="000000"/>
          <w:lang w:val="es-ES_tradnl"/>
        </w:rPr>
        <w:t xml:space="preserve">Cuando el aluminio se administra parenteralmente a animales de experimentación, éste se acumula en el feto y causa un aumento de la mortalidad perinatal y daños en el aprendizaje y memoria. Una exposición más prolongada al metal causa toxicidad esquelética y del comportamiento. No hay evidencia de que dosis normales de medicamentos que contienen aluminio, tales como el </w:t>
      </w:r>
      <w:proofErr w:type="spellStart"/>
      <w:r>
        <w:rPr>
          <w:color w:val="000000"/>
          <w:lang w:val="es-ES_tradnl"/>
        </w:rPr>
        <w:t>sucralfato</w:t>
      </w:r>
      <w:proofErr w:type="spellEnd"/>
      <w:r>
        <w:rPr>
          <w:color w:val="000000"/>
          <w:lang w:val="es-ES_tradnl"/>
        </w:rPr>
        <w:t>, presenten un riesgo en mujeres embarazadas con una función renal normal. Además, la cantidad de aluminio absorbida es mínima.</w:t>
      </w:r>
    </w:p>
    <w:p w:rsidR="00930281" w:rsidRDefault="00930281" w:rsidP="00930281">
      <w:pPr>
        <w:ind w:left="360"/>
        <w:rPr>
          <w:color w:val="000000"/>
        </w:rPr>
      </w:pPr>
      <w:r>
        <w:rPr>
          <w:color w:val="000000"/>
          <w:lang w:val="es-ES_tradnl"/>
        </w:rPr>
        <w:t>Madres lactantes: se ignora si este medicamento es excretado en cantidades significativas con la leche materna, aunque dado que la absorción sistémica es muy baja, la cantidad esperada que se excrete en leche materna es mínima. Uso precautorio.</w:t>
      </w:r>
    </w:p>
    <w:p w:rsidR="00930281" w:rsidRDefault="00930281" w:rsidP="00930281">
      <w:pPr>
        <w:ind w:left="360"/>
        <w:rPr>
          <w:color w:val="000000"/>
        </w:rPr>
      </w:pPr>
      <w:r>
        <w:rPr>
          <w:b/>
          <w:bCs/>
          <w:color w:val="000000"/>
          <w:lang w:val="es-ES_tradnl"/>
        </w:rPr>
        <w:t>Uso en niños: no se dispone de suficiente experiencia clínica en este grupo de edad, por lo que no se recomienda su uso.</w:t>
      </w:r>
    </w:p>
    <w:p w:rsidR="00930281" w:rsidRDefault="00930281" w:rsidP="00930281">
      <w:pPr>
        <w:ind w:left="360"/>
        <w:rPr>
          <w:color w:val="000000"/>
        </w:rPr>
      </w:pPr>
      <w:r>
        <w:rPr>
          <w:color w:val="000000"/>
          <w:lang w:val="es-ES_tradnl"/>
        </w:rPr>
        <w:t>Uso en ancianos: los estudios realizados no han descrito problemas específicamente geriátricos.</w:t>
      </w:r>
    </w:p>
    <w:p w:rsidR="00930281" w:rsidRDefault="00930281" w:rsidP="00930281">
      <w:pPr>
        <w:ind w:left="360"/>
        <w:rPr>
          <w:color w:val="000000"/>
        </w:rPr>
      </w:pPr>
      <w:r>
        <w:rPr>
          <w:color w:val="000000"/>
          <w:lang w:val="es-ES_tradnl"/>
        </w:rPr>
        <w:lastRenderedPageBreak/>
        <w:t xml:space="preserve">En caso de insuficiencia renal grave se debe evaluar la relación riesgo-beneficio ya que la absorción del aluminio que contiene el </w:t>
      </w:r>
      <w:proofErr w:type="spellStart"/>
      <w:r>
        <w:rPr>
          <w:color w:val="000000"/>
          <w:lang w:val="es-ES_tradnl"/>
        </w:rPr>
        <w:t>sucralfato</w:t>
      </w:r>
      <w:proofErr w:type="spellEnd"/>
      <w:r>
        <w:rPr>
          <w:color w:val="000000"/>
          <w:lang w:val="es-ES_tradnl"/>
        </w:rPr>
        <w:t xml:space="preserve"> puede producir toxicidad por aluminio (agravación de la osteoporosis e inhibición de la absorción digestiva de fluoruros) en estos pacientes. Tampoco se recomienda su uso prolongado, especialmente en pacientes con enfermedad de Alzheimer, al haberse sugerido un potencial papel etiológico del aluminio en esta enfermedad.</w:t>
      </w:r>
    </w:p>
    <w:p w:rsidR="00930281" w:rsidRDefault="00930281" w:rsidP="00930281">
      <w:pPr>
        <w:rPr>
          <w:color w:val="000000"/>
          <w:sz w:val="27"/>
          <w:szCs w:val="27"/>
        </w:rPr>
      </w:pPr>
      <w:r>
        <w:rPr>
          <w:color w:val="000000"/>
          <w:lang w:val="es-ES_tradnl"/>
        </w:rPr>
        <w:br w:type="textWrapping" w:clear="all"/>
      </w:r>
      <w:r>
        <w:rPr>
          <w:color w:val="000000"/>
          <w:sz w:val="14"/>
          <w:szCs w:val="14"/>
          <w:lang w:val="es-ES_tradnl"/>
        </w:rPr>
        <w:t> </w:t>
      </w:r>
      <w:r>
        <w:rPr>
          <w:rStyle w:val="apple-converted-space"/>
          <w:color w:val="000000"/>
          <w:sz w:val="14"/>
          <w:szCs w:val="14"/>
          <w:lang w:val="es-ES_tradnl"/>
        </w:rPr>
        <w:t> </w:t>
      </w:r>
      <w:r>
        <w:rPr>
          <w:b/>
          <w:bCs/>
          <w:color w:val="000000"/>
          <w:lang w:val="es-ES_tradnl"/>
        </w:rPr>
        <w:t>INTERACCIONES:</w:t>
      </w:r>
    </w:p>
    <w:p w:rsidR="00930281" w:rsidRDefault="00930281" w:rsidP="00930281">
      <w:pPr>
        <w:ind w:left="340"/>
        <w:rPr>
          <w:color w:val="000000"/>
          <w:sz w:val="24"/>
          <w:szCs w:val="24"/>
        </w:rPr>
      </w:pPr>
      <w:r>
        <w:rPr>
          <w:b/>
          <w:bCs/>
          <w:color w:val="000000"/>
          <w:lang w:val="es-ES_tradnl"/>
        </w:rPr>
        <w:t xml:space="preserve">Los estudios de laboratorio indican que el </w:t>
      </w:r>
      <w:proofErr w:type="spellStart"/>
      <w:r>
        <w:rPr>
          <w:b/>
          <w:bCs/>
          <w:color w:val="000000"/>
          <w:lang w:val="es-ES_tradnl"/>
        </w:rPr>
        <w:t>sucralfato</w:t>
      </w:r>
      <w:proofErr w:type="spellEnd"/>
      <w:r>
        <w:rPr>
          <w:b/>
          <w:bCs/>
          <w:color w:val="000000"/>
          <w:lang w:val="es-ES_tradnl"/>
        </w:rPr>
        <w:t xml:space="preserve"> puede adsorber diversos fármacos y, con ello, reducir su biodisponibilidad. Las interacciones se pueden volver mínimas mediante la administración de las otras medicaciones 2hs antes de la de </w:t>
      </w:r>
      <w:proofErr w:type="spellStart"/>
      <w:r>
        <w:rPr>
          <w:b/>
          <w:bCs/>
          <w:color w:val="000000"/>
          <w:lang w:val="es-ES_tradnl"/>
        </w:rPr>
        <w:t>sucralfato</w:t>
      </w:r>
      <w:proofErr w:type="spellEnd"/>
      <w:r>
        <w:rPr>
          <w:b/>
          <w:bCs/>
          <w:color w:val="000000"/>
          <w:lang w:val="es-ES_tradnl"/>
        </w:rPr>
        <w:t>.</w:t>
      </w:r>
      <w:r>
        <w:rPr>
          <w:rStyle w:val="apple-converted-space"/>
          <w:color w:val="000000"/>
          <w:lang w:val="es-ES_tradnl"/>
        </w:rPr>
        <w:t> </w:t>
      </w:r>
      <w:r>
        <w:rPr>
          <w:color w:val="000000"/>
          <w:lang w:val="es-ES_tradnl"/>
        </w:rPr>
        <w:t xml:space="preserve">Las asociaciones que contengan </w:t>
      </w:r>
      <w:proofErr w:type="gramStart"/>
      <w:r>
        <w:rPr>
          <w:color w:val="000000"/>
          <w:lang w:val="es-ES_tradnl"/>
        </w:rPr>
        <w:t>cualesquiera</w:t>
      </w:r>
      <w:proofErr w:type="gramEnd"/>
      <w:r>
        <w:rPr>
          <w:color w:val="000000"/>
          <w:lang w:val="es-ES_tradnl"/>
        </w:rPr>
        <w:t xml:space="preserve"> de los siguientes medicamentos, dependiendo de la cantidad presente, pueden también interaccionar con </w:t>
      </w:r>
      <w:proofErr w:type="spellStart"/>
      <w:r>
        <w:rPr>
          <w:color w:val="000000"/>
          <w:lang w:val="es-ES_tradnl"/>
        </w:rPr>
        <w:t>sucralfato</w:t>
      </w:r>
      <w:proofErr w:type="spellEnd"/>
      <w:r>
        <w:rPr>
          <w:color w:val="000000"/>
          <w:lang w:val="es-ES_tradnl"/>
        </w:rPr>
        <w:t xml:space="preserve">. Cuando se realiza alimentación enteral el intervalo de administración de </w:t>
      </w:r>
      <w:proofErr w:type="spellStart"/>
      <w:r>
        <w:rPr>
          <w:color w:val="000000"/>
          <w:lang w:val="es-ES_tradnl"/>
        </w:rPr>
        <w:t>sucralfato</w:t>
      </w:r>
      <w:proofErr w:type="spellEnd"/>
      <w:r>
        <w:rPr>
          <w:color w:val="000000"/>
          <w:lang w:val="es-ES_tradnl"/>
        </w:rPr>
        <w:t xml:space="preserve"> debe ser de 1 hora.</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Amitriptilina</w:t>
      </w:r>
      <w:proofErr w:type="spellEnd"/>
      <w:r>
        <w:rPr>
          <w:color w:val="000000"/>
          <w:lang w:val="es-ES_tradnl"/>
        </w:rPr>
        <w:t>: posible disminución en la absorción del antidepresivo.</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r>
        <w:rPr>
          <w:color w:val="000000"/>
          <w:lang w:val="es-ES_tradnl"/>
        </w:rPr>
        <w:t xml:space="preserve">Medicamentos que contienen aluminio tales como: antiácidos, </w:t>
      </w:r>
      <w:proofErr w:type="spellStart"/>
      <w:r>
        <w:rPr>
          <w:color w:val="000000"/>
          <w:lang w:val="es-ES_tradnl"/>
        </w:rPr>
        <w:t>antidiarréicos</w:t>
      </w:r>
      <w:proofErr w:type="spellEnd"/>
      <w:r>
        <w:rPr>
          <w:color w:val="000000"/>
          <w:lang w:val="es-ES_tradnl"/>
        </w:rPr>
        <w:t xml:space="preserve">, ácido acetilsalicílico tamponado con aluminio, duchas vaginales: puede ocurrir toxicidad por </w:t>
      </w:r>
      <w:proofErr w:type="spellStart"/>
      <w:r>
        <w:rPr>
          <w:color w:val="000000"/>
          <w:lang w:val="es-ES_tradnl"/>
        </w:rPr>
        <w:t>alumnio</w:t>
      </w:r>
      <w:proofErr w:type="spellEnd"/>
      <w:r>
        <w:rPr>
          <w:color w:val="000000"/>
          <w:lang w:val="es-ES_tradnl"/>
        </w:rPr>
        <w:t xml:space="preserve"> en pacientes con insuficiencia renal.</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r>
        <w:rPr>
          <w:color w:val="000000"/>
          <w:lang w:val="es-ES_tradnl"/>
        </w:rPr>
        <w:t xml:space="preserve">Antiácidos: no se recomienda la administración simultánea ya que los antiácidos pueden interferir la unión del </w:t>
      </w:r>
      <w:proofErr w:type="spellStart"/>
      <w:r>
        <w:rPr>
          <w:color w:val="000000"/>
          <w:lang w:val="es-ES_tradnl"/>
        </w:rPr>
        <w:t>sucralfato</w:t>
      </w:r>
      <w:proofErr w:type="spellEnd"/>
      <w:r>
        <w:rPr>
          <w:color w:val="000000"/>
          <w:lang w:val="es-ES_tradnl"/>
        </w:rPr>
        <w:t xml:space="preserve"> a la mucosa.</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r>
        <w:rPr>
          <w:color w:val="000000"/>
          <w:lang w:val="es-ES_tradnl"/>
        </w:rPr>
        <w:t>Cimetidina: posible disminución de su biodisponibilidad.</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Digoxina</w:t>
      </w:r>
      <w:proofErr w:type="spellEnd"/>
      <w:r>
        <w:rPr>
          <w:color w:val="000000"/>
          <w:lang w:val="es-ES_tradnl"/>
        </w:rPr>
        <w:t xml:space="preserve">: posible inhibición del efecto por reducción de la absorción de </w:t>
      </w:r>
      <w:proofErr w:type="spellStart"/>
      <w:r>
        <w:rPr>
          <w:color w:val="000000"/>
          <w:lang w:val="es-ES_tradnl"/>
        </w:rPr>
        <w:t>digoxina</w:t>
      </w:r>
      <w:proofErr w:type="spellEnd"/>
      <w:r>
        <w:rPr>
          <w:color w:val="000000"/>
          <w:lang w:val="es-ES_tradnl"/>
        </w:rPr>
        <w:t xml:space="preserve">. No tomar </w:t>
      </w:r>
      <w:proofErr w:type="spellStart"/>
      <w:r>
        <w:rPr>
          <w:color w:val="000000"/>
          <w:lang w:val="es-ES_tradnl"/>
        </w:rPr>
        <w:t>sucralfato</w:t>
      </w:r>
      <w:proofErr w:type="spellEnd"/>
      <w:r>
        <w:rPr>
          <w:color w:val="000000"/>
          <w:lang w:val="es-ES_tradnl"/>
        </w:rPr>
        <w:t xml:space="preserve"> en las 2 </w:t>
      </w:r>
      <w:proofErr w:type="spellStart"/>
      <w:r>
        <w:rPr>
          <w:color w:val="000000"/>
          <w:lang w:val="es-ES_tradnl"/>
        </w:rPr>
        <w:t>hs</w:t>
      </w:r>
      <w:proofErr w:type="spellEnd"/>
      <w:r>
        <w:rPr>
          <w:color w:val="000000"/>
          <w:lang w:val="es-ES_tradnl"/>
        </w:rPr>
        <w:t xml:space="preserve"> anteriores o posteriores a la administración de este medicamento.</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Epoetina</w:t>
      </w:r>
      <w:proofErr w:type="spellEnd"/>
      <w:r>
        <w:rPr>
          <w:color w:val="000000"/>
          <w:lang w:val="es-ES_tradnl"/>
        </w:rPr>
        <w:t xml:space="preserve">: posible inhibición del efecto por interferir en la síntesis de hemoglobina, debido a una acumulación de </w:t>
      </w:r>
      <w:proofErr w:type="spellStart"/>
      <w:r>
        <w:rPr>
          <w:color w:val="000000"/>
          <w:lang w:val="es-ES_tradnl"/>
        </w:rPr>
        <w:t>protoporfirina</w:t>
      </w:r>
      <w:proofErr w:type="spellEnd"/>
      <w:r>
        <w:rPr>
          <w:color w:val="000000"/>
          <w:lang w:val="es-ES_tradnl"/>
        </w:rPr>
        <w:t>.</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Fenilhidantoína</w:t>
      </w:r>
      <w:proofErr w:type="spellEnd"/>
      <w:r>
        <w:rPr>
          <w:color w:val="000000"/>
          <w:lang w:val="es-ES_tradnl"/>
        </w:rPr>
        <w:t>: posible disminución de su biodisponibilidad.</w:t>
      </w:r>
    </w:p>
    <w:p w:rsidR="00930281" w:rsidRDefault="00930281" w:rsidP="00930281">
      <w:pPr>
        <w:ind w:left="340"/>
        <w:rPr>
          <w:color w:val="000000"/>
        </w:rPr>
      </w:pPr>
      <w:r>
        <w:rPr>
          <w:rFonts w:ascii="Symbol" w:hAnsi="Symbol"/>
          <w:color w:val="000000"/>
          <w:lang w:val="es-ES_tradnl"/>
        </w:rPr>
        <w:lastRenderedPageBreak/>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Fenitoína</w:t>
      </w:r>
      <w:proofErr w:type="spellEnd"/>
      <w:r>
        <w:rPr>
          <w:color w:val="000000"/>
          <w:lang w:val="es-ES_tradnl"/>
        </w:rPr>
        <w:t xml:space="preserve">: posible inhibición del efecto por reducción de la absorción de </w:t>
      </w:r>
      <w:proofErr w:type="spellStart"/>
      <w:r>
        <w:rPr>
          <w:color w:val="000000"/>
          <w:lang w:val="es-ES_tradnl"/>
        </w:rPr>
        <w:t>fenitoína</w:t>
      </w:r>
      <w:proofErr w:type="spellEnd"/>
      <w:r>
        <w:rPr>
          <w:color w:val="000000"/>
          <w:lang w:val="es-ES_tradnl"/>
        </w:rPr>
        <w:t xml:space="preserve">, por formación de complejos insolubles. No tomar </w:t>
      </w:r>
      <w:proofErr w:type="spellStart"/>
      <w:r>
        <w:rPr>
          <w:color w:val="000000"/>
          <w:lang w:val="es-ES_tradnl"/>
        </w:rPr>
        <w:t>sucralfato</w:t>
      </w:r>
      <w:proofErr w:type="spellEnd"/>
      <w:r>
        <w:rPr>
          <w:color w:val="000000"/>
          <w:lang w:val="es-ES_tradnl"/>
        </w:rPr>
        <w:t xml:space="preserve"> en las 2hs anteriores o posteriores a la administración de este medicamento.</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Ketoconazol</w:t>
      </w:r>
      <w:proofErr w:type="spellEnd"/>
      <w:r>
        <w:rPr>
          <w:color w:val="000000"/>
          <w:lang w:val="es-ES_tradnl"/>
        </w:rPr>
        <w:t>: posible disminución de su biodisponibilidad.</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Levotiroxina</w:t>
      </w:r>
      <w:proofErr w:type="spellEnd"/>
      <w:r>
        <w:rPr>
          <w:color w:val="000000"/>
          <w:lang w:val="es-ES_tradnl"/>
        </w:rPr>
        <w:t xml:space="preserve">: posible inhibición del efecto por reducción de la absorción de </w:t>
      </w:r>
      <w:proofErr w:type="spellStart"/>
      <w:r>
        <w:rPr>
          <w:color w:val="000000"/>
          <w:lang w:val="es-ES_tradnl"/>
        </w:rPr>
        <w:t>levotiroxina</w:t>
      </w:r>
      <w:proofErr w:type="spellEnd"/>
      <w:r>
        <w:rPr>
          <w:color w:val="000000"/>
          <w:lang w:val="es-ES_tradnl"/>
        </w:rPr>
        <w:t>.</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Quinidina</w:t>
      </w:r>
      <w:proofErr w:type="spellEnd"/>
      <w:r>
        <w:rPr>
          <w:color w:val="000000"/>
          <w:lang w:val="es-ES_tradnl"/>
        </w:rPr>
        <w:t xml:space="preserve">: posible inhibición del efecto por reducción de la absorción del </w:t>
      </w:r>
      <w:proofErr w:type="spellStart"/>
      <w:r>
        <w:rPr>
          <w:color w:val="000000"/>
          <w:lang w:val="es-ES_tradnl"/>
        </w:rPr>
        <w:t>antiarrítmico</w:t>
      </w:r>
      <w:proofErr w:type="spellEnd"/>
      <w:r>
        <w:rPr>
          <w:color w:val="000000"/>
          <w:lang w:val="es-ES_tradnl"/>
        </w:rPr>
        <w:t>, por formación de complejos insolubles.</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Quinolonas</w:t>
      </w:r>
      <w:proofErr w:type="spellEnd"/>
      <w:r>
        <w:rPr>
          <w:color w:val="000000"/>
          <w:lang w:val="es-ES_tradnl"/>
        </w:rPr>
        <w:t xml:space="preserve"> (ciprofloxacina, </w:t>
      </w:r>
      <w:proofErr w:type="spellStart"/>
      <w:r>
        <w:rPr>
          <w:color w:val="000000"/>
          <w:lang w:val="es-ES_tradnl"/>
        </w:rPr>
        <w:t>enoxacina</w:t>
      </w:r>
      <w:proofErr w:type="spellEnd"/>
      <w:r>
        <w:rPr>
          <w:color w:val="000000"/>
          <w:lang w:val="es-ES_tradnl"/>
        </w:rPr>
        <w:t xml:space="preserve">, </w:t>
      </w:r>
      <w:proofErr w:type="spellStart"/>
      <w:r>
        <w:rPr>
          <w:color w:val="000000"/>
          <w:lang w:val="es-ES_tradnl"/>
        </w:rPr>
        <w:t>norfloxacina</w:t>
      </w:r>
      <w:proofErr w:type="spellEnd"/>
      <w:r>
        <w:rPr>
          <w:color w:val="000000"/>
          <w:lang w:val="es-ES_tradnl"/>
        </w:rPr>
        <w:t xml:space="preserve">, </w:t>
      </w:r>
      <w:proofErr w:type="spellStart"/>
      <w:r>
        <w:rPr>
          <w:color w:val="000000"/>
          <w:lang w:val="es-ES_tradnl"/>
        </w:rPr>
        <w:t>ofloxacina</w:t>
      </w:r>
      <w:proofErr w:type="spellEnd"/>
      <w:r>
        <w:rPr>
          <w:color w:val="000000"/>
          <w:lang w:val="es-ES_tradnl"/>
        </w:rPr>
        <w:t xml:space="preserve">, </w:t>
      </w:r>
      <w:proofErr w:type="spellStart"/>
      <w:r>
        <w:rPr>
          <w:color w:val="000000"/>
          <w:lang w:val="es-ES_tradnl"/>
        </w:rPr>
        <w:t>perfloxacina</w:t>
      </w:r>
      <w:proofErr w:type="spellEnd"/>
      <w:r>
        <w:rPr>
          <w:color w:val="000000"/>
          <w:lang w:val="es-ES_tradnl"/>
        </w:rPr>
        <w:t xml:space="preserve">): posible inhibición del efecto por reducción de la absorción de la </w:t>
      </w:r>
      <w:proofErr w:type="spellStart"/>
      <w:r>
        <w:rPr>
          <w:color w:val="000000"/>
          <w:lang w:val="es-ES_tradnl"/>
        </w:rPr>
        <w:t>quinolona</w:t>
      </w:r>
      <w:proofErr w:type="spellEnd"/>
      <w:r>
        <w:rPr>
          <w:color w:val="000000"/>
          <w:lang w:val="es-ES_tradnl"/>
        </w:rPr>
        <w:t xml:space="preserve">, por formación de complejos insolubles. Tomar estos medicamentos 2hs antes de </w:t>
      </w:r>
      <w:proofErr w:type="spellStart"/>
      <w:r>
        <w:rPr>
          <w:color w:val="000000"/>
          <w:lang w:val="es-ES_tradnl"/>
        </w:rPr>
        <w:t>sucralfato</w:t>
      </w:r>
      <w:proofErr w:type="spellEnd"/>
      <w:r>
        <w:rPr>
          <w:color w:val="000000"/>
          <w:lang w:val="es-ES_tradnl"/>
        </w:rPr>
        <w:t>.</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b/>
          <w:bCs/>
          <w:color w:val="000000"/>
          <w:lang w:val="es-ES_tradnl"/>
        </w:rPr>
        <w:t>Ranitidina</w:t>
      </w:r>
      <w:proofErr w:type="spellEnd"/>
      <w:r>
        <w:rPr>
          <w:b/>
          <w:bCs/>
          <w:color w:val="000000"/>
          <w:lang w:val="es-ES_tradnl"/>
        </w:rPr>
        <w:t xml:space="preserve">: posible disminución de la absorción oral de </w:t>
      </w:r>
      <w:proofErr w:type="spellStart"/>
      <w:r>
        <w:rPr>
          <w:b/>
          <w:bCs/>
          <w:color w:val="000000"/>
          <w:lang w:val="es-ES_tradnl"/>
        </w:rPr>
        <w:t>ranitidina</w:t>
      </w:r>
      <w:proofErr w:type="spellEnd"/>
      <w:r>
        <w:rPr>
          <w:b/>
          <w:bCs/>
          <w:color w:val="000000"/>
          <w:lang w:val="es-ES_tradnl"/>
        </w:rPr>
        <w:t>. Espaciar 2hs la administración.</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Sulpirida</w:t>
      </w:r>
      <w:proofErr w:type="spellEnd"/>
      <w:r>
        <w:rPr>
          <w:color w:val="000000"/>
          <w:lang w:val="es-ES_tradnl"/>
        </w:rPr>
        <w:t xml:space="preserve">: posible inhibición del efecto por reducción de la absorción de </w:t>
      </w:r>
      <w:proofErr w:type="spellStart"/>
      <w:r>
        <w:rPr>
          <w:color w:val="000000"/>
          <w:lang w:val="es-ES_tradnl"/>
        </w:rPr>
        <w:t>sulpirida</w:t>
      </w:r>
      <w:proofErr w:type="spellEnd"/>
      <w:r>
        <w:rPr>
          <w:color w:val="000000"/>
          <w:lang w:val="es-ES_tradnl"/>
        </w:rPr>
        <w:t>.</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r>
        <w:rPr>
          <w:color w:val="000000"/>
          <w:lang w:val="es-ES_tradnl"/>
        </w:rPr>
        <w:t xml:space="preserve">Teofilina: posible inhibición del efecto por reducción de la absorción de teofilina. No tomar </w:t>
      </w:r>
      <w:proofErr w:type="spellStart"/>
      <w:r>
        <w:rPr>
          <w:color w:val="000000"/>
          <w:lang w:val="es-ES_tradnl"/>
        </w:rPr>
        <w:t>sucralfato</w:t>
      </w:r>
      <w:proofErr w:type="spellEnd"/>
      <w:r>
        <w:rPr>
          <w:color w:val="000000"/>
          <w:lang w:val="es-ES_tradnl"/>
        </w:rPr>
        <w:t xml:space="preserve"> en las 2hs anteriores o posteriores a la administración de este medicamento.</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r>
        <w:rPr>
          <w:color w:val="000000"/>
          <w:lang w:val="es-ES_tradnl"/>
        </w:rPr>
        <w:t xml:space="preserve">Tetraciclinas: posible disminución de su biodisponibilidad ya que </w:t>
      </w:r>
      <w:proofErr w:type="spellStart"/>
      <w:r>
        <w:rPr>
          <w:color w:val="000000"/>
          <w:lang w:val="es-ES_tradnl"/>
        </w:rPr>
        <w:t>sucralfato</w:t>
      </w:r>
      <w:proofErr w:type="spellEnd"/>
      <w:r>
        <w:rPr>
          <w:color w:val="000000"/>
          <w:lang w:val="es-ES_tradnl"/>
        </w:rPr>
        <w:t xml:space="preserve"> es una sal de aluminio y puede formar complejos </w:t>
      </w:r>
      <w:proofErr w:type="spellStart"/>
      <w:r>
        <w:rPr>
          <w:color w:val="000000"/>
          <w:lang w:val="es-ES_tradnl"/>
        </w:rPr>
        <w:t>inabsorbibles</w:t>
      </w:r>
      <w:proofErr w:type="spellEnd"/>
      <w:r>
        <w:rPr>
          <w:color w:val="000000"/>
          <w:lang w:val="es-ES_tradnl"/>
        </w:rPr>
        <w:t xml:space="preserve"> con las tetraciclinas. No tomar </w:t>
      </w:r>
      <w:proofErr w:type="spellStart"/>
      <w:r>
        <w:rPr>
          <w:color w:val="000000"/>
          <w:lang w:val="es-ES_tradnl"/>
        </w:rPr>
        <w:t>sucralfato</w:t>
      </w:r>
      <w:proofErr w:type="spellEnd"/>
      <w:r>
        <w:rPr>
          <w:color w:val="000000"/>
          <w:lang w:val="es-ES_tradnl"/>
        </w:rPr>
        <w:t xml:space="preserve"> en las 2hs anteriores o posteriores a la administración de este medicamento.</w:t>
      </w:r>
    </w:p>
    <w:p w:rsidR="00930281" w:rsidRDefault="00930281" w:rsidP="00930281">
      <w:pPr>
        <w:ind w:left="340"/>
        <w:rPr>
          <w:color w:val="000000"/>
        </w:rPr>
      </w:pPr>
      <w:r>
        <w:rPr>
          <w:rFonts w:ascii="Symbol" w:hAnsi="Symbol"/>
          <w:color w:val="000000"/>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lang w:val="es-ES_tradnl"/>
        </w:rPr>
        <w:t>Warfarina</w:t>
      </w:r>
      <w:proofErr w:type="spellEnd"/>
      <w:r>
        <w:rPr>
          <w:color w:val="000000"/>
          <w:lang w:val="es-ES_tradnl"/>
        </w:rPr>
        <w:t>: posible inhibición del efecto por reducción de la absorción del anticoagulante, al alcalinizarse el tracto intestinal.</w:t>
      </w:r>
    </w:p>
    <w:p w:rsidR="00930281" w:rsidRDefault="00930281" w:rsidP="00930281">
      <w:pPr>
        <w:rPr>
          <w:color w:val="000000"/>
          <w:sz w:val="27"/>
          <w:szCs w:val="27"/>
        </w:rPr>
      </w:pPr>
      <w:r>
        <w:rPr>
          <w:b/>
          <w:bCs/>
          <w:color w:val="000000"/>
          <w:lang w:val="es-ES_tradnl"/>
        </w:rPr>
        <w:br w:type="textWrapping" w:clear="all"/>
      </w:r>
      <w:r>
        <w:rPr>
          <w:color w:val="000000"/>
          <w:sz w:val="16"/>
          <w:szCs w:val="16"/>
        </w:rPr>
        <w:br w:type="textWrapping" w:clear="all"/>
      </w:r>
    </w:p>
    <w:p w:rsidR="00930281" w:rsidRDefault="00930281" w:rsidP="00930281">
      <w:pPr>
        <w:rPr>
          <w:color w:val="000000"/>
          <w:sz w:val="24"/>
          <w:szCs w:val="24"/>
        </w:rPr>
      </w:pPr>
      <w:r>
        <w:rPr>
          <w:b/>
          <w:bCs/>
          <w:color w:val="000000"/>
          <w:sz w:val="18"/>
          <w:szCs w:val="18"/>
          <w:u w:val="single"/>
        </w:rPr>
        <w:t>PRESENTACIONES COMERCIALES:</w:t>
      </w:r>
    </w:p>
    <w:p w:rsidR="00930281" w:rsidRDefault="00930281" w:rsidP="00930281">
      <w:pPr>
        <w:spacing w:line="360" w:lineRule="atLeast"/>
        <w:jc w:val="center"/>
        <w:rPr>
          <w:color w:val="000000"/>
        </w:rPr>
      </w:pPr>
      <w:r>
        <w:rPr>
          <w:b/>
          <w:bCs/>
          <w:color w:val="000000"/>
          <w:sz w:val="16"/>
          <w:szCs w:val="16"/>
        </w:rPr>
        <w:lastRenderedPageBreak/>
        <w:t>RANITIDINA (CLORHIDRATO)</w:t>
      </w:r>
    </w:p>
    <w:tbl>
      <w:tblPr>
        <w:tblW w:w="0" w:type="auto"/>
        <w:tblCellMar>
          <w:left w:w="0" w:type="dxa"/>
          <w:right w:w="0" w:type="dxa"/>
        </w:tblCellMar>
        <w:tblLook w:val="04A0" w:firstRow="1" w:lastRow="0" w:firstColumn="1" w:lastColumn="0" w:noHBand="0" w:noVBand="1"/>
      </w:tblPr>
      <w:tblGrid>
        <w:gridCol w:w="2055"/>
        <w:gridCol w:w="6589"/>
      </w:tblGrid>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ACIDEX Comprimidos Recubiertos</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conteniendo 20 y 50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SYNCRO</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ACIDEX A.P.</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conteniendo 20 y 50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SYNCRO</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ALUDROX AC</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20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BAGÓ</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DUALID</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40 comprimidos de 150 mg.</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DUNCAN</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FENDIBINA</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envases conteniendo 20 y 50 comprimidos. Inyectable: envase conteniendo 5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NORTHIA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GASTRIAL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envases conteniendo 10, 30 y 60 comprimidos. Comprimidos 300 mg: envases conteniendo 10 y 30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SANOFI WINTHROP</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GASTROSEDOL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proofErr w:type="spellStart"/>
            <w:r>
              <w:rPr>
                <w:sz w:val="16"/>
                <w:szCs w:val="16"/>
              </w:rPr>
              <w:t>Gastrosedol</w:t>
            </w:r>
            <w:proofErr w:type="spellEnd"/>
            <w:r>
              <w:rPr>
                <w:sz w:val="16"/>
                <w:szCs w:val="16"/>
              </w:rPr>
              <w:t xml:space="preserve"> 150 mg: Envases conteniendo 30 y 60 comprimidos recubiertos. </w:t>
            </w:r>
            <w:proofErr w:type="spellStart"/>
            <w:r>
              <w:rPr>
                <w:sz w:val="16"/>
                <w:szCs w:val="16"/>
              </w:rPr>
              <w:t>Gastrosedol</w:t>
            </w:r>
            <w:proofErr w:type="spellEnd"/>
            <w:r>
              <w:rPr>
                <w:sz w:val="16"/>
                <w:szCs w:val="16"/>
              </w:rPr>
              <w:t xml:space="preserve"> 300 mg: Envase conteniendo 30 comprimidos recubiertos. </w:t>
            </w:r>
            <w:proofErr w:type="spellStart"/>
            <w:r>
              <w:rPr>
                <w:sz w:val="16"/>
                <w:szCs w:val="16"/>
              </w:rPr>
              <w:t>Gastrosedol</w:t>
            </w:r>
            <w:proofErr w:type="spellEnd"/>
            <w:r>
              <w:rPr>
                <w:sz w:val="16"/>
                <w:szCs w:val="16"/>
              </w:rPr>
              <w:t xml:space="preserve"> inyectable: Envases conteniendo 5 y 10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BRISTOL-MYERS SQUIBB</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GASTROZAC</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lastRenderedPageBreak/>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envases conteniendo 20 y 60 comprimidos. Comprimidos 300 mg: envases conteniendo 20 y 60 comprimidos. Inyectable: envase conteniendo 6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KLONAL</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INSUFLEN</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Inyectable: envase hospitalario conteniendo 100 ampollas. Comprimidos: envases hospitalarios conteniendo 50 y 500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FADA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INSUFLEN FADAJET</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 xml:space="preserve">Inyectable: Envase hospitalario conteniendo 50 jeringas </w:t>
            </w:r>
            <w:proofErr w:type="spellStart"/>
            <w:r>
              <w:rPr>
                <w:sz w:val="16"/>
                <w:szCs w:val="16"/>
              </w:rPr>
              <w:t>prellenadas</w:t>
            </w:r>
            <w:proofErr w:type="spellEnd"/>
            <w:r>
              <w:rPr>
                <w:sz w:val="16"/>
                <w:szCs w:val="16"/>
              </w:rPr>
              <w:t>.</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FADA</w:t>
            </w:r>
          </w:p>
        </w:tc>
      </w:tr>
      <w:tr w:rsidR="00930281" w:rsidTr="00930281">
        <w:tc>
          <w:tcPr>
            <w:tcW w:w="205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LUVIER</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proofErr w:type="spellStart"/>
            <w:r>
              <w:rPr>
                <w:sz w:val="16"/>
                <w:szCs w:val="16"/>
              </w:rPr>
              <w:t>Luvier</w:t>
            </w:r>
            <w:proofErr w:type="spellEnd"/>
            <w:r>
              <w:rPr>
                <w:sz w:val="16"/>
                <w:szCs w:val="16"/>
              </w:rPr>
              <w:t xml:space="preserve"> 150: envases conteniendo 20 y 60 comprimidos recubiertos. </w:t>
            </w:r>
            <w:proofErr w:type="spellStart"/>
            <w:r>
              <w:rPr>
                <w:sz w:val="16"/>
                <w:szCs w:val="16"/>
              </w:rPr>
              <w:t>Luvier</w:t>
            </w:r>
            <w:proofErr w:type="spellEnd"/>
            <w:r>
              <w:rPr>
                <w:sz w:val="16"/>
                <w:szCs w:val="16"/>
              </w:rPr>
              <w:t xml:space="preserve"> 300: envase conteniendo 30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CASASCO</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NOTRAB</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envases conteniendo 20 y 60 comprimidos recubiertos. Comprimidos 300 mg: envase conteniendo 30 comprimidos recubiertos. Inyectable: envase conteniendo 6 ampollas de 5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MICROSULES ARGENTINA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 GNO</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20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ARION</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DRAWER</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envases conteniendo 20 y 50 comprimidos recubiertos. Inyectable: envase conteniendo 6 ampollas.</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DRAWER</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hospitalario conteniendo 100 ampollas de 5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VEINFAR</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 xml:space="preserve">NOMBRE </w:t>
            </w:r>
            <w:r>
              <w:rPr>
                <w:b/>
                <w:bCs/>
                <w:sz w:val="16"/>
                <w:szCs w:val="16"/>
              </w:rPr>
              <w:lastRenderedPageBreak/>
              <w:t>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lastRenderedPageBreak/>
              <w:t>RANITIDINA BIOL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lastRenderedPageBreak/>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hospitalario conteniendo 100 ampollas de 5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BIOL</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hospitalario conteniendo 100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BIOQUIM</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CBA</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envases conteniendo 20 y 30 comprimidos. Comprimidos 300 mg: envases conteniendo 20 y 30 comprimidos. Inyectable: envase conteniendo 6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CORDOBA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FABOP 150</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60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FABOP</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FABOP 300</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30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FABOP</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D.F.</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envases conteniendo 20 comprimidos. Comprimidos 300 mg: envases conteniendo 20 comprimidos. Inyectable: envase conteniendo 1 ampolla.</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DENVER FARMA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ILAB</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envases conteniendo 20 y 40 comprimidos. Comprimidos 300 mg: envases conteniendo 20 y 40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INMUNOLAB</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LAZAR</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100 mg: envase conteniendo 30 comprimidos. Comprimidos 150 mg: envases conteniendo 20, 50 y 100 comprimidos recubiertos. Comprimidos 300 mg: envase conteniendo 30 comprimidos recubiertos. Inyectable: envase conteniendo 3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LAZAR</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lastRenderedPageBreak/>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MILLET</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 conteniendo 60 grageas. Comprimidos300 mg: envase conteniendo 30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MILLET-FRANKLIN</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VANNIER</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20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VANNIER</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RANITRAL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envases conteniendo 20 y 60 comprimidos recubiertos. Comprimidos 300 mg: envase conteniendo 30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SANITAS</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RANITUL ORIENTAL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20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ORIENTAL</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RANIZEN</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20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BOUZEN</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RATICINA</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conteniendo 20 y 50 comprimidos.</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MICROSULES-BERNABO</w:t>
            </w:r>
          </w:p>
        </w:tc>
      </w:tr>
      <w:tr w:rsidR="00930281" w:rsidTr="00930281">
        <w:tc>
          <w:tcPr>
            <w:tcW w:w="2055" w:type="dxa"/>
            <w:tcBorders>
              <w:top w:val="nil"/>
              <w:left w:val="nil"/>
              <w:bottom w:val="nil"/>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nil"/>
              <w:left w:val="nil"/>
              <w:bottom w:val="nil"/>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ROSIMOL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proofErr w:type="spellStart"/>
            <w:r>
              <w:rPr>
                <w:sz w:val="16"/>
                <w:szCs w:val="16"/>
              </w:rPr>
              <w:t>Rosimol</w:t>
            </w:r>
            <w:proofErr w:type="spellEnd"/>
            <w:r>
              <w:rPr>
                <w:sz w:val="16"/>
                <w:szCs w:val="16"/>
              </w:rPr>
              <w:t xml:space="preserve"> comprimidos: envase conteniendo 20, 30 y 50 comprimidos recubiertos </w:t>
            </w:r>
            <w:proofErr w:type="spellStart"/>
            <w:r>
              <w:rPr>
                <w:sz w:val="16"/>
                <w:szCs w:val="16"/>
              </w:rPr>
              <w:t>ranurados</w:t>
            </w:r>
            <w:proofErr w:type="spellEnd"/>
            <w:r>
              <w:rPr>
                <w:sz w:val="16"/>
                <w:szCs w:val="16"/>
              </w:rPr>
              <w:t xml:space="preserve">. </w:t>
            </w:r>
            <w:proofErr w:type="spellStart"/>
            <w:r>
              <w:rPr>
                <w:sz w:val="16"/>
                <w:szCs w:val="16"/>
              </w:rPr>
              <w:t>Rosimol</w:t>
            </w:r>
            <w:proofErr w:type="spellEnd"/>
            <w:r>
              <w:rPr>
                <w:sz w:val="16"/>
                <w:szCs w:val="16"/>
              </w:rPr>
              <w:t xml:space="preserve"> 300 comprimidos: envase conteniendo 30 comprimidos recubiertos </w:t>
            </w:r>
            <w:proofErr w:type="spellStart"/>
            <w:r>
              <w:rPr>
                <w:sz w:val="16"/>
                <w:szCs w:val="16"/>
              </w:rPr>
              <w:t>ranurados</w:t>
            </w:r>
            <w:proofErr w:type="spellEnd"/>
            <w:r>
              <w:rPr>
                <w:sz w:val="16"/>
                <w:szCs w:val="16"/>
              </w:rPr>
              <w:t>. Inyectable: envase conteniendo 6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LABINCA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SUSTAC</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proofErr w:type="spellStart"/>
            <w:r>
              <w:rPr>
                <w:sz w:val="16"/>
                <w:szCs w:val="16"/>
              </w:rPr>
              <w:t>Sustac</w:t>
            </w:r>
            <w:proofErr w:type="spellEnd"/>
            <w:r>
              <w:rPr>
                <w:sz w:val="16"/>
                <w:szCs w:val="16"/>
              </w:rPr>
              <w:t xml:space="preserve"> 150: envases de 20 y 60 comprimidos recubiertos. </w:t>
            </w:r>
            <w:proofErr w:type="spellStart"/>
            <w:r>
              <w:rPr>
                <w:sz w:val="16"/>
                <w:szCs w:val="16"/>
              </w:rPr>
              <w:t>Sustac</w:t>
            </w:r>
            <w:proofErr w:type="spellEnd"/>
            <w:r>
              <w:rPr>
                <w:sz w:val="16"/>
                <w:szCs w:val="16"/>
              </w:rPr>
              <w:t xml:space="preserve"> 300: envase de 30 </w:t>
            </w:r>
            <w:r>
              <w:rPr>
                <w:sz w:val="16"/>
                <w:szCs w:val="16"/>
              </w:rPr>
              <w:lastRenderedPageBreak/>
              <w:t>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lastRenderedPageBreak/>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SEARLE SINTYAL</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TAURAL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envases conteniendo 20 y 60 comprimidos. Inyectable: envase conteniendo 6 ampollas de 5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ROEMMERS</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TAURAL 300</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30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ROEMMERS</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TELUS</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30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ELVETIUM ALET</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TEOGRAND</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conteniendo 20 y 50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AGRAND</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TOMAG</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 xml:space="preserve">Envases conteniendo 10 y 20 comprimidos recubiertos. </w:t>
            </w:r>
            <w:proofErr w:type="spellStart"/>
            <w:r>
              <w:rPr>
                <w:sz w:val="16"/>
                <w:szCs w:val="16"/>
              </w:rPr>
              <w:t>Dispenser</w:t>
            </w:r>
            <w:proofErr w:type="spellEnd"/>
            <w:r>
              <w:rPr>
                <w:sz w:val="16"/>
                <w:szCs w:val="16"/>
              </w:rPr>
              <w:t xml:space="preserve"> conteniendo 14 unidades de 10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TEMIS-LOSTALO</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ULCOTENK</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 conteniendo 60 comprimidos. Comprimidos 300 mg: envase conteniendo 30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BIOTENK</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VINGIONAL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150 mg: envase conteniendo 20 comprimidos. Comprimidos 300 mg: envase conteniendo 20 y 30 comprimidos. Inyectable 50 mg.: envase conteniendo 5 ampollas.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FABRA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 xml:space="preserve">NOMBRE </w:t>
            </w:r>
            <w:r>
              <w:rPr>
                <w:b/>
                <w:bCs/>
                <w:sz w:val="16"/>
                <w:szCs w:val="16"/>
              </w:rPr>
              <w:lastRenderedPageBreak/>
              <w:t>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lastRenderedPageBreak/>
              <w:t>VIZERUL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lastRenderedPageBreak/>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conteniendo 30 y 60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MONTPELLIER</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VIZERUL 300</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30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MONTPELLIER</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ZANTAC Comprimidos Recubiertos</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proofErr w:type="spellStart"/>
            <w:r>
              <w:rPr>
                <w:sz w:val="16"/>
                <w:szCs w:val="16"/>
              </w:rPr>
              <w:t>Zantac</w:t>
            </w:r>
            <w:proofErr w:type="spellEnd"/>
            <w:r>
              <w:rPr>
                <w:sz w:val="16"/>
                <w:szCs w:val="16"/>
              </w:rPr>
              <w:t xml:space="preserve"> 150 mg: envases conteniendo 20 y 60 comprimidos recubiertos. </w:t>
            </w:r>
            <w:proofErr w:type="spellStart"/>
            <w:r>
              <w:rPr>
                <w:sz w:val="16"/>
                <w:szCs w:val="16"/>
              </w:rPr>
              <w:t>Zantac</w:t>
            </w:r>
            <w:proofErr w:type="spellEnd"/>
            <w:r>
              <w:rPr>
                <w:sz w:val="16"/>
                <w:szCs w:val="16"/>
              </w:rPr>
              <w:t xml:space="preserve"> 300 mg: envases conteniendo 10 y 30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GLAXO WELLCOME</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ZANTAC Jarabe</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120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GLAXO WELLCOME</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ZANTAC Inyectable IV</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25 mg/ml conteniendo 5 ampollas de 2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GLAXO WELLCOME</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ZANTAC 75</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conteniendo 6 y 12 comprimidos recubiertos.</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GLAXO WELLCOME</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GLAXO WELLCOME</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ZANTAC EFERVESCENTE</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150 mg. conteniendo 10 y 30 comprimidos efervescentes.</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GLAXO WELLCOME</w:t>
            </w:r>
          </w:p>
        </w:tc>
      </w:tr>
    </w:tbl>
    <w:p w:rsidR="00930281" w:rsidRDefault="00930281" w:rsidP="00930281">
      <w:pPr>
        <w:rPr>
          <w:color w:val="000000"/>
          <w:sz w:val="24"/>
          <w:szCs w:val="24"/>
        </w:rPr>
      </w:pPr>
      <w:r>
        <w:rPr>
          <w:color w:val="000000"/>
          <w:sz w:val="16"/>
          <w:szCs w:val="16"/>
        </w:rPr>
        <w:t> </w:t>
      </w:r>
    </w:p>
    <w:p w:rsidR="00930281" w:rsidRDefault="00930281" w:rsidP="00930281">
      <w:pPr>
        <w:pStyle w:val="Ttulo1"/>
        <w:spacing w:line="720" w:lineRule="atLeast"/>
        <w:rPr>
          <w:color w:val="000000"/>
        </w:rPr>
      </w:pPr>
      <w:r>
        <w:rPr>
          <w:color w:val="000000"/>
          <w:sz w:val="16"/>
          <w:szCs w:val="16"/>
        </w:rPr>
        <w:t>ASOCIACIÓN</w:t>
      </w:r>
      <w:r>
        <w:rPr>
          <w:rStyle w:val="apple-converted-space"/>
          <w:color w:val="000000"/>
          <w:sz w:val="16"/>
          <w:szCs w:val="16"/>
        </w:rPr>
        <w:t> </w:t>
      </w:r>
      <w:r>
        <w:rPr>
          <w:b w:val="0"/>
          <w:bCs/>
          <w:color w:val="000000"/>
          <w:sz w:val="16"/>
          <w:szCs w:val="16"/>
        </w:rPr>
        <w:t>(</w:t>
      </w:r>
      <w:proofErr w:type="spellStart"/>
      <w:r>
        <w:rPr>
          <w:b w:val="0"/>
          <w:bCs/>
          <w:color w:val="000000"/>
          <w:sz w:val="16"/>
          <w:szCs w:val="16"/>
        </w:rPr>
        <w:t>Ranitidina</w:t>
      </w:r>
      <w:proofErr w:type="spellEnd"/>
      <w:r>
        <w:rPr>
          <w:b w:val="0"/>
          <w:bCs/>
          <w:color w:val="000000"/>
          <w:sz w:val="16"/>
          <w:szCs w:val="16"/>
        </w:rPr>
        <w:t xml:space="preserve"> + </w:t>
      </w:r>
      <w:proofErr w:type="spellStart"/>
      <w:r>
        <w:rPr>
          <w:b w:val="0"/>
          <w:bCs/>
          <w:color w:val="000000"/>
          <w:sz w:val="16"/>
          <w:szCs w:val="16"/>
        </w:rPr>
        <w:t>Domperidona</w:t>
      </w:r>
      <w:proofErr w:type="spellEnd"/>
      <w:r>
        <w:rPr>
          <w:b w:val="0"/>
          <w:bCs/>
          <w:color w:val="000000"/>
          <w:sz w:val="16"/>
          <w:szCs w:val="16"/>
        </w:rPr>
        <w:t>)</w:t>
      </w:r>
    </w:p>
    <w:tbl>
      <w:tblPr>
        <w:tblW w:w="0" w:type="auto"/>
        <w:tblCellMar>
          <w:left w:w="0" w:type="dxa"/>
          <w:right w:w="0" w:type="dxa"/>
        </w:tblCellMar>
        <w:tblLook w:val="04A0" w:firstRow="1" w:lastRow="0" w:firstColumn="1" w:lastColumn="0" w:noHBand="0" w:noVBand="1"/>
      </w:tblPr>
      <w:tblGrid>
        <w:gridCol w:w="2055"/>
        <w:gridCol w:w="6589"/>
      </w:tblGrid>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RANITIDINA LAZAR RE</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20 y 60 comprimidos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LAZAR</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lastRenderedPageBreak/>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MEGALEX</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Envases conteniendo 15 y 60 comprimidos recubiertos.</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PHOENIX</w:t>
            </w:r>
          </w:p>
        </w:tc>
      </w:tr>
    </w:tbl>
    <w:p w:rsidR="00930281" w:rsidRDefault="00930281" w:rsidP="00930281">
      <w:pPr>
        <w:rPr>
          <w:color w:val="000000"/>
          <w:sz w:val="24"/>
          <w:szCs w:val="24"/>
        </w:rPr>
      </w:pPr>
      <w:r>
        <w:rPr>
          <w:color w:val="000000"/>
          <w:sz w:val="16"/>
          <w:szCs w:val="16"/>
        </w:rPr>
        <w:t> </w:t>
      </w:r>
    </w:p>
    <w:p w:rsidR="00930281" w:rsidRDefault="00930281" w:rsidP="00930281">
      <w:pPr>
        <w:pStyle w:val="Ttulo1"/>
        <w:spacing w:line="720" w:lineRule="atLeast"/>
        <w:rPr>
          <w:color w:val="000000"/>
        </w:rPr>
      </w:pPr>
      <w:r>
        <w:rPr>
          <w:color w:val="000000"/>
          <w:sz w:val="16"/>
          <w:szCs w:val="16"/>
        </w:rPr>
        <w:t>ASOCIACIÓN</w:t>
      </w:r>
      <w:r>
        <w:rPr>
          <w:rStyle w:val="apple-converted-space"/>
          <w:color w:val="000000"/>
          <w:sz w:val="16"/>
          <w:szCs w:val="16"/>
        </w:rPr>
        <w:t> </w:t>
      </w:r>
      <w:r>
        <w:rPr>
          <w:b w:val="0"/>
          <w:bCs/>
          <w:color w:val="000000"/>
          <w:sz w:val="16"/>
          <w:szCs w:val="16"/>
        </w:rPr>
        <w:t>(</w:t>
      </w:r>
      <w:proofErr w:type="spellStart"/>
      <w:r>
        <w:rPr>
          <w:b w:val="0"/>
          <w:bCs/>
          <w:color w:val="000000"/>
          <w:sz w:val="16"/>
          <w:szCs w:val="16"/>
        </w:rPr>
        <w:t>Ranitidina</w:t>
      </w:r>
      <w:proofErr w:type="spellEnd"/>
      <w:r>
        <w:rPr>
          <w:b w:val="0"/>
          <w:bCs/>
          <w:color w:val="000000"/>
          <w:sz w:val="16"/>
          <w:szCs w:val="16"/>
        </w:rPr>
        <w:t xml:space="preserve"> + </w:t>
      </w:r>
      <w:proofErr w:type="spellStart"/>
      <w:r>
        <w:rPr>
          <w:b w:val="0"/>
          <w:bCs/>
          <w:color w:val="000000"/>
          <w:sz w:val="16"/>
          <w:szCs w:val="16"/>
        </w:rPr>
        <w:t>Pirenzepina</w:t>
      </w:r>
      <w:proofErr w:type="spellEnd"/>
      <w:r>
        <w:rPr>
          <w:b w:val="0"/>
          <w:bCs/>
          <w:color w:val="000000"/>
          <w:sz w:val="16"/>
          <w:szCs w:val="16"/>
        </w:rPr>
        <w:t>)</w:t>
      </w:r>
    </w:p>
    <w:tbl>
      <w:tblPr>
        <w:tblW w:w="0" w:type="auto"/>
        <w:tblCellMar>
          <w:left w:w="0" w:type="dxa"/>
          <w:right w:w="0" w:type="dxa"/>
        </w:tblCellMar>
        <w:tblLook w:val="04A0" w:firstRow="1" w:lastRow="0" w:firstColumn="1" w:lastColumn="0" w:noHBand="0" w:noVBand="1"/>
      </w:tblPr>
      <w:tblGrid>
        <w:gridCol w:w="2055"/>
        <w:gridCol w:w="6589"/>
      </w:tblGrid>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DUO VIZERUL 150</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30 comprimidos recubiertos.</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MONTPELLIER</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DUO VIZERUL 300</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30 comprimidos recubiertos.</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MONTPELLIER</w:t>
            </w:r>
          </w:p>
        </w:tc>
      </w:tr>
    </w:tbl>
    <w:p w:rsidR="00930281" w:rsidRDefault="00930281" w:rsidP="00930281">
      <w:pPr>
        <w:rPr>
          <w:color w:val="000000"/>
          <w:sz w:val="24"/>
          <w:szCs w:val="24"/>
        </w:rPr>
      </w:pPr>
      <w:r>
        <w:rPr>
          <w:color w:val="000000"/>
          <w:sz w:val="16"/>
          <w:szCs w:val="16"/>
        </w:rPr>
        <w:t> </w:t>
      </w:r>
    </w:p>
    <w:p w:rsidR="00930281" w:rsidRDefault="00930281" w:rsidP="00930281">
      <w:pPr>
        <w:pStyle w:val="Ttulo1"/>
        <w:spacing w:line="720" w:lineRule="atLeast"/>
        <w:rPr>
          <w:color w:val="000000"/>
        </w:rPr>
      </w:pPr>
      <w:r>
        <w:rPr>
          <w:color w:val="000000"/>
          <w:sz w:val="16"/>
          <w:szCs w:val="16"/>
        </w:rPr>
        <w:t>RANITIDINA CITRATO BISMUTO</w:t>
      </w:r>
    </w:p>
    <w:tbl>
      <w:tblPr>
        <w:tblW w:w="0" w:type="auto"/>
        <w:tblCellMar>
          <w:left w:w="0" w:type="dxa"/>
          <w:right w:w="0" w:type="dxa"/>
        </w:tblCellMar>
        <w:tblLook w:val="04A0" w:firstRow="1" w:lastRow="0" w:firstColumn="1" w:lastColumn="0" w:noHBand="0" w:noVBand="1"/>
      </w:tblPr>
      <w:tblGrid>
        <w:gridCol w:w="2055"/>
        <w:gridCol w:w="6589"/>
      </w:tblGrid>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PYLORID</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Envase conteniendo 28 comprimidos recubiertos.</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GLAXO WELLCOME</w:t>
            </w:r>
          </w:p>
        </w:tc>
      </w:tr>
    </w:tbl>
    <w:p w:rsidR="00930281" w:rsidRDefault="00930281" w:rsidP="00930281">
      <w:pPr>
        <w:rPr>
          <w:color w:val="000000"/>
          <w:sz w:val="24"/>
          <w:szCs w:val="24"/>
        </w:rPr>
      </w:pPr>
      <w:r>
        <w:rPr>
          <w:color w:val="000000"/>
          <w:sz w:val="16"/>
          <w:szCs w:val="16"/>
        </w:rPr>
        <w:t> </w:t>
      </w:r>
    </w:p>
    <w:p w:rsidR="00930281" w:rsidRDefault="00930281" w:rsidP="00930281">
      <w:pPr>
        <w:rPr>
          <w:color w:val="000000"/>
        </w:rPr>
      </w:pPr>
      <w:r>
        <w:rPr>
          <w:color w:val="000000"/>
          <w:sz w:val="16"/>
          <w:szCs w:val="16"/>
        </w:rPr>
        <w:t> </w:t>
      </w:r>
    </w:p>
    <w:p w:rsidR="00930281" w:rsidRDefault="00930281" w:rsidP="00930281">
      <w:pPr>
        <w:pStyle w:val="Ttulo1"/>
        <w:spacing w:line="720" w:lineRule="atLeast"/>
        <w:rPr>
          <w:color w:val="000000"/>
        </w:rPr>
      </w:pPr>
      <w:r>
        <w:rPr>
          <w:color w:val="000000"/>
          <w:sz w:val="16"/>
          <w:szCs w:val="16"/>
        </w:rPr>
        <w:t>SUCRALFATO</w:t>
      </w:r>
    </w:p>
    <w:tbl>
      <w:tblPr>
        <w:tblW w:w="0" w:type="auto"/>
        <w:tblCellMar>
          <w:left w:w="0" w:type="dxa"/>
          <w:right w:w="0" w:type="dxa"/>
        </w:tblCellMar>
        <w:tblLook w:val="04A0" w:firstRow="1" w:lastRow="0" w:firstColumn="1" w:lastColumn="0" w:noHBand="0" w:noVBand="1"/>
      </w:tblPr>
      <w:tblGrid>
        <w:gridCol w:w="2055"/>
        <w:gridCol w:w="6589"/>
      </w:tblGrid>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ANTEPSIN</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1g.: envase conteniendo 50 comprimidos. Suspensión: envase conteniendo 200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PROMECO</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lastRenderedPageBreak/>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INDANE</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Comprimidos: envase conteniendo 50 comprimidos. Suspensión: envase conteniendo 200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BERNABÓ</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NETUNAL</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Sobres: envase conteniendo 30 sobres de 5 ml. Suspensión: envase conteniendo 200 ml de suspensión.</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MERCK QUIMICA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SUCRALFATO DF</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Suspensión 2%: envase conteniendo 200 ml.</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DENVER FARMA</w:t>
            </w:r>
          </w:p>
        </w:tc>
      </w:tr>
      <w:tr w:rsidR="00930281" w:rsidTr="00930281">
        <w:tc>
          <w:tcPr>
            <w:tcW w:w="2055"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c>
          <w:tcPr>
            <w:tcW w:w="6589" w:type="dxa"/>
            <w:tcBorders>
              <w:top w:val="single" w:sz="4" w:space="0" w:color="auto"/>
              <w:left w:val="nil"/>
              <w:bottom w:val="single" w:sz="4" w:space="0" w:color="auto"/>
              <w:right w:val="nil"/>
            </w:tcBorders>
            <w:tcMar>
              <w:top w:w="0" w:type="dxa"/>
              <w:left w:w="70" w:type="dxa"/>
              <w:bottom w:w="0" w:type="dxa"/>
              <w:right w:w="70" w:type="dxa"/>
            </w:tcMar>
            <w:hideMark/>
          </w:tcPr>
          <w:p w:rsidR="00930281" w:rsidRDefault="00930281">
            <w:pPr>
              <w:rPr>
                <w:sz w:val="24"/>
                <w:szCs w:val="24"/>
              </w:rPr>
            </w:pPr>
            <w:r>
              <w:t> </w:t>
            </w:r>
          </w:p>
        </w:tc>
      </w:tr>
      <w:tr w:rsidR="00930281" w:rsidTr="00930281">
        <w:tc>
          <w:tcPr>
            <w:tcW w:w="2055"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NOMBRE COMERCIAL</w:t>
            </w:r>
          </w:p>
        </w:tc>
        <w:tc>
          <w:tcPr>
            <w:tcW w:w="6589" w:type="dxa"/>
            <w:tcBorders>
              <w:top w:val="nil"/>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SUCRALMAX</w:t>
            </w:r>
          </w:p>
        </w:tc>
      </w:tr>
      <w:tr w:rsidR="00930281" w:rsidTr="00930281">
        <w:tc>
          <w:tcPr>
            <w:tcW w:w="2055" w:type="dxa"/>
            <w:tcBorders>
              <w:top w:val="nil"/>
              <w:left w:val="single" w:sz="4" w:space="0" w:color="auto"/>
              <w:bottom w:val="nil"/>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PRESENTACIÓN</w:t>
            </w:r>
          </w:p>
        </w:tc>
        <w:tc>
          <w:tcPr>
            <w:tcW w:w="6589" w:type="dxa"/>
            <w:tcBorders>
              <w:top w:val="nil"/>
              <w:left w:val="nil"/>
              <w:bottom w:val="nil"/>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Frasco conteniendo 200 ml.</w:t>
            </w:r>
          </w:p>
        </w:tc>
      </w:tr>
      <w:tr w:rsidR="00930281" w:rsidTr="00930281">
        <w:tc>
          <w:tcPr>
            <w:tcW w:w="2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b/>
                <w:bCs/>
                <w:sz w:val="16"/>
                <w:szCs w:val="16"/>
              </w:rPr>
              <w:t>LABORATORIO</w:t>
            </w:r>
          </w:p>
        </w:tc>
        <w:tc>
          <w:tcPr>
            <w:tcW w:w="65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30281" w:rsidRDefault="00930281">
            <w:pPr>
              <w:rPr>
                <w:sz w:val="24"/>
                <w:szCs w:val="24"/>
              </w:rPr>
            </w:pPr>
            <w:r>
              <w:rPr>
                <w:sz w:val="16"/>
                <w:szCs w:val="16"/>
              </w:rPr>
              <w:t>BIOQUIMICA APLICADA</w:t>
            </w:r>
          </w:p>
        </w:tc>
      </w:tr>
    </w:tbl>
    <w:p w:rsidR="00930281" w:rsidRDefault="00930281" w:rsidP="00930281">
      <w:pPr>
        <w:rPr>
          <w:color w:val="000000"/>
          <w:sz w:val="24"/>
          <w:szCs w:val="24"/>
        </w:rPr>
      </w:pPr>
      <w:r>
        <w:rPr>
          <w:b/>
          <w:bCs/>
          <w:color w:val="000000"/>
          <w:sz w:val="16"/>
          <w:szCs w:val="16"/>
        </w:rPr>
        <w:t> </w:t>
      </w:r>
    </w:p>
    <w:p w:rsidR="00930281" w:rsidRDefault="00930281" w:rsidP="00930281">
      <w:pPr>
        <w:rPr>
          <w:color w:val="000000"/>
          <w:sz w:val="27"/>
          <w:szCs w:val="27"/>
        </w:rPr>
      </w:pPr>
      <w:r>
        <w:rPr>
          <w:b/>
          <w:bCs/>
          <w:color w:val="000000"/>
          <w:sz w:val="16"/>
          <w:szCs w:val="16"/>
          <w:lang w:val="es-ES_tradnl"/>
        </w:rPr>
        <w:br w:type="textWrapping" w:clear="all"/>
      </w:r>
    </w:p>
    <w:p w:rsidR="00930281" w:rsidRDefault="00930281" w:rsidP="00930281">
      <w:pPr>
        <w:spacing w:line="360" w:lineRule="atLeast"/>
        <w:rPr>
          <w:color w:val="000000"/>
          <w:sz w:val="24"/>
          <w:szCs w:val="24"/>
        </w:rPr>
      </w:pPr>
      <w:r>
        <w:rPr>
          <w:b/>
          <w:bCs/>
          <w:color w:val="000000"/>
          <w:lang w:val="es-ES_tradnl"/>
        </w:rPr>
        <w:t>BIBLIOGRAFÍA:</w:t>
      </w:r>
    </w:p>
    <w:p w:rsidR="00930281" w:rsidRDefault="00930281" w:rsidP="00930281">
      <w:pPr>
        <w:spacing w:line="360" w:lineRule="atLeast"/>
        <w:rPr>
          <w:color w:val="000000"/>
        </w:rPr>
      </w:pPr>
      <w:r>
        <w:rPr>
          <w:b/>
          <w:bCs/>
          <w:color w:val="000000"/>
          <w:sz w:val="16"/>
          <w:szCs w:val="16"/>
          <w:lang w:val="es-ES_tradnl"/>
        </w:rPr>
        <w:t> </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Catálogo de Especialidades Farmacéuticas 99. Consejo General de Colegios Oficiales de Farmacéuticos. Madrid. España.</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lang w:val="es-ES_tradnl"/>
        </w:rPr>
        <w:t>Goodman</w:t>
      </w:r>
      <w:proofErr w:type="spellEnd"/>
      <w:r>
        <w:rPr>
          <w:color w:val="000000"/>
          <w:sz w:val="16"/>
          <w:szCs w:val="16"/>
          <w:lang w:val="es-ES_tradnl"/>
        </w:rPr>
        <w:t xml:space="preserve"> y </w:t>
      </w:r>
      <w:proofErr w:type="spellStart"/>
      <w:r>
        <w:rPr>
          <w:color w:val="000000"/>
          <w:sz w:val="16"/>
          <w:szCs w:val="16"/>
          <w:lang w:val="es-ES_tradnl"/>
        </w:rPr>
        <w:t>Gilman</w:t>
      </w:r>
      <w:proofErr w:type="spellEnd"/>
      <w:r>
        <w:rPr>
          <w:color w:val="000000"/>
          <w:sz w:val="16"/>
          <w:szCs w:val="16"/>
          <w:lang w:val="es-ES_tradnl"/>
        </w:rPr>
        <w:t>. Las Bases Farmacológicas de la Terapéutica. Novena Edición. Volumen I y II.</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Información de Medicamentos para el Profesional Sanitario. USP-DI. 2da Edición Española. 1995.</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 xml:space="preserve">British </w:t>
      </w:r>
      <w:proofErr w:type="spellStart"/>
      <w:r>
        <w:rPr>
          <w:color w:val="000000"/>
          <w:sz w:val="16"/>
          <w:szCs w:val="16"/>
          <w:lang w:val="es-ES_tradnl"/>
        </w:rPr>
        <w:t>National</w:t>
      </w:r>
      <w:proofErr w:type="spellEnd"/>
      <w:r>
        <w:rPr>
          <w:color w:val="000000"/>
          <w:sz w:val="16"/>
          <w:szCs w:val="16"/>
          <w:lang w:val="es-ES_tradnl"/>
        </w:rPr>
        <w:t xml:space="preserve"> </w:t>
      </w:r>
      <w:proofErr w:type="spellStart"/>
      <w:r>
        <w:rPr>
          <w:color w:val="000000"/>
          <w:sz w:val="16"/>
          <w:szCs w:val="16"/>
          <w:lang w:val="es-ES_tradnl"/>
        </w:rPr>
        <w:t>Formulary</w:t>
      </w:r>
      <w:proofErr w:type="spellEnd"/>
      <w:r>
        <w:rPr>
          <w:color w:val="000000"/>
          <w:sz w:val="16"/>
          <w:szCs w:val="16"/>
          <w:lang w:val="es-ES_tradnl"/>
        </w:rPr>
        <w:t xml:space="preserve">. British Medical </w:t>
      </w:r>
      <w:proofErr w:type="spellStart"/>
      <w:r>
        <w:rPr>
          <w:color w:val="000000"/>
          <w:sz w:val="16"/>
          <w:szCs w:val="16"/>
          <w:lang w:val="es-ES_tradnl"/>
        </w:rPr>
        <w:t>Association</w:t>
      </w:r>
      <w:proofErr w:type="spellEnd"/>
      <w:r>
        <w:rPr>
          <w:color w:val="000000"/>
          <w:sz w:val="16"/>
          <w:szCs w:val="16"/>
          <w:lang w:val="es-ES_tradnl"/>
        </w:rPr>
        <w:t xml:space="preserve">. Royal </w:t>
      </w:r>
      <w:proofErr w:type="spellStart"/>
      <w:r>
        <w:rPr>
          <w:color w:val="000000"/>
          <w:sz w:val="16"/>
          <w:szCs w:val="16"/>
          <w:lang w:val="es-ES_tradnl"/>
        </w:rPr>
        <w:t>Pharmaceutical</w:t>
      </w:r>
      <w:proofErr w:type="spellEnd"/>
      <w:r>
        <w:rPr>
          <w:color w:val="000000"/>
          <w:sz w:val="16"/>
          <w:szCs w:val="16"/>
          <w:lang w:val="es-ES_tradnl"/>
        </w:rPr>
        <w:t xml:space="preserve"> </w:t>
      </w:r>
      <w:proofErr w:type="spellStart"/>
      <w:r>
        <w:rPr>
          <w:color w:val="000000"/>
          <w:sz w:val="16"/>
          <w:szCs w:val="16"/>
          <w:lang w:val="es-ES_tradnl"/>
        </w:rPr>
        <w:t>Society</w:t>
      </w:r>
      <w:proofErr w:type="spellEnd"/>
      <w:r>
        <w:rPr>
          <w:color w:val="000000"/>
          <w:sz w:val="16"/>
          <w:szCs w:val="16"/>
          <w:lang w:val="es-ES_tradnl"/>
        </w:rPr>
        <w:t xml:space="preserve"> of Great </w:t>
      </w:r>
      <w:proofErr w:type="spellStart"/>
      <w:r>
        <w:rPr>
          <w:color w:val="000000"/>
          <w:sz w:val="16"/>
          <w:szCs w:val="16"/>
          <w:lang w:val="es-ES_tradnl"/>
        </w:rPr>
        <w:t>Britain</w:t>
      </w:r>
      <w:proofErr w:type="spellEnd"/>
      <w:r>
        <w:rPr>
          <w:color w:val="000000"/>
          <w:sz w:val="16"/>
          <w:szCs w:val="16"/>
          <w:lang w:val="es-ES_tradnl"/>
        </w:rPr>
        <w:t>. 1998.</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lang w:val="es-ES_tradnl"/>
        </w:rPr>
        <w:t>The</w:t>
      </w:r>
      <w:proofErr w:type="spellEnd"/>
      <w:r>
        <w:rPr>
          <w:color w:val="000000"/>
          <w:sz w:val="16"/>
          <w:szCs w:val="16"/>
          <w:lang w:val="es-ES_tradnl"/>
        </w:rPr>
        <w:t xml:space="preserve"> Complete </w:t>
      </w:r>
      <w:proofErr w:type="spellStart"/>
      <w:r>
        <w:rPr>
          <w:color w:val="000000"/>
          <w:sz w:val="16"/>
          <w:szCs w:val="16"/>
          <w:lang w:val="es-ES_tradnl"/>
        </w:rPr>
        <w:t>Drug</w:t>
      </w:r>
      <w:proofErr w:type="spellEnd"/>
      <w:r>
        <w:rPr>
          <w:color w:val="000000"/>
          <w:sz w:val="16"/>
          <w:szCs w:val="16"/>
          <w:lang w:val="es-ES_tradnl"/>
        </w:rPr>
        <w:t xml:space="preserve"> Reference. </w:t>
      </w:r>
      <w:proofErr w:type="spellStart"/>
      <w:r>
        <w:rPr>
          <w:color w:val="000000"/>
          <w:sz w:val="16"/>
          <w:szCs w:val="16"/>
          <w:lang w:val="es-ES_tradnl"/>
        </w:rPr>
        <w:t>Martindale</w:t>
      </w:r>
      <w:proofErr w:type="spellEnd"/>
      <w:r>
        <w:rPr>
          <w:color w:val="000000"/>
          <w:sz w:val="16"/>
          <w:szCs w:val="16"/>
          <w:lang w:val="es-ES_tradnl"/>
        </w:rPr>
        <w:t xml:space="preserve">. 32th </w:t>
      </w:r>
      <w:proofErr w:type="spellStart"/>
      <w:r>
        <w:rPr>
          <w:color w:val="000000"/>
          <w:sz w:val="16"/>
          <w:szCs w:val="16"/>
          <w:lang w:val="es-ES_tradnl"/>
        </w:rPr>
        <w:t>Edition</w:t>
      </w:r>
      <w:proofErr w:type="spellEnd"/>
      <w:r>
        <w:rPr>
          <w:color w:val="000000"/>
          <w:sz w:val="16"/>
          <w:szCs w:val="16"/>
          <w:lang w:val="es-ES_tradnl"/>
        </w:rPr>
        <w:t>. 1999.</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lang w:val="es-ES_tradnl"/>
        </w:rPr>
        <w:t>Applied</w:t>
      </w:r>
      <w:proofErr w:type="spellEnd"/>
      <w:r>
        <w:rPr>
          <w:color w:val="000000"/>
          <w:sz w:val="16"/>
          <w:szCs w:val="16"/>
          <w:lang w:val="es-ES_tradnl"/>
        </w:rPr>
        <w:t xml:space="preserve"> </w:t>
      </w:r>
      <w:proofErr w:type="spellStart"/>
      <w:r>
        <w:rPr>
          <w:color w:val="000000"/>
          <w:sz w:val="16"/>
          <w:szCs w:val="16"/>
          <w:lang w:val="es-ES_tradnl"/>
        </w:rPr>
        <w:t>Therapeutics</w:t>
      </w:r>
      <w:proofErr w:type="spellEnd"/>
      <w:r>
        <w:rPr>
          <w:color w:val="000000"/>
          <w:sz w:val="16"/>
          <w:szCs w:val="16"/>
          <w:lang w:val="es-ES_tradnl"/>
        </w:rPr>
        <w:t xml:space="preserve">: </w:t>
      </w:r>
      <w:proofErr w:type="spellStart"/>
      <w:r>
        <w:rPr>
          <w:color w:val="000000"/>
          <w:sz w:val="16"/>
          <w:szCs w:val="16"/>
          <w:lang w:val="es-ES_tradnl"/>
        </w:rPr>
        <w:t>The</w:t>
      </w:r>
      <w:proofErr w:type="spellEnd"/>
      <w:r>
        <w:rPr>
          <w:color w:val="000000"/>
          <w:sz w:val="16"/>
          <w:szCs w:val="16"/>
          <w:lang w:val="es-ES_tradnl"/>
        </w:rPr>
        <w:t xml:space="preserve"> </w:t>
      </w:r>
      <w:proofErr w:type="spellStart"/>
      <w:r>
        <w:rPr>
          <w:color w:val="000000"/>
          <w:sz w:val="16"/>
          <w:szCs w:val="16"/>
          <w:lang w:val="es-ES_tradnl"/>
        </w:rPr>
        <w:t>Clinical</w:t>
      </w:r>
      <w:proofErr w:type="spellEnd"/>
      <w:r>
        <w:rPr>
          <w:color w:val="000000"/>
          <w:sz w:val="16"/>
          <w:szCs w:val="16"/>
          <w:lang w:val="es-ES_tradnl"/>
        </w:rPr>
        <w:t xml:space="preserve"> Use of </w:t>
      </w:r>
      <w:proofErr w:type="spellStart"/>
      <w:r>
        <w:rPr>
          <w:color w:val="000000"/>
          <w:sz w:val="16"/>
          <w:szCs w:val="16"/>
          <w:lang w:val="es-ES_tradnl"/>
        </w:rPr>
        <w:t>Drugs</w:t>
      </w:r>
      <w:proofErr w:type="spellEnd"/>
      <w:r>
        <w:rPr>
          <w:color w:val="000000"/>
          <w:sz w:val="16"/>
          <w:szCs w:val="16"/>
          <w:lang w:val="es-ES_tradnl"/>
        </w:rPr>
        <w:t xml:space="preserve">. </w:t>
      </w:r>
      <w:proofErr w:type="spellStart"/>
      <w:r>
        <w:rPr>
          <w:color w:val="000000"/>
          <w:sz w:val="16"/>
          <w:szCs w:val="16"/>
          <w:lang w:val="es-ES_tradnl"/>
        </w:rPr>
        <w:t>Sixth</w:t>
      </w:r>
      <w:proofErr w:type="spellEnd"/>
      <w:r>
        <w:rPr>
          <w:color w:val="000000"/>
          <w:sz w:val="16"/>
          <w:szCs w:val="16"/>
          <w:lang w:val="es-ES_tradnl"/>
        </w:rPr>
        <w:t xml:space="preserve"> </w:t>
      </w:r>
      <w:proofErr w:type="spellStart"/>
      <w:r>
        <w:rPr>
          <w:color w:val="000000"/>
          <w:sz w:val="16"/>
          <w:szCs w:val="16"/>
          <w:lang w:val="es-ES_tradnl"/>
        </w:rPr>
        <w:t>Edition</w:t>
      </w:r>
      <w:proofErr w:type="spellEnd"/>
      <w:r>
        <w:rPr>
          <w:color w:val="000000"/>
          <w:sz w:val="16"/>
          <w:szCs w:val="16"/>
          <w:lang w:val="es-ES_tradnl"/>
        </w:rPr>
        <w:t>. 1995.</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lang w:val="es-ES_tradnl"/>
        </w:rPr>
        <w:t>Pharmacotherapy</w:t>
      </w:r>
      <w:proofErr w:type="spellEnd"/>
      <w:r>
        <w:rPr>
          <w:color w:val="000000"/>
          <w:sz w:val="16"/>
          <w:szCs w:val="16"/>
          <w:lang w:val="es-ES_tradnl"/>
        </w:rPr>
        <w:t xml:space="preserve">. A </w:t>
      </w:r>
      <w:proofErr w:type="spellStart"/>
      <w:r>
        <w:rPr>
          <w:color w:val="000000"/>
          <w:sz w:val="16"/>
          <w:szCs w:val="16"/>
          <w:lang w:val="es-ES_tradnl"/>
        </w:rPr>
        <w:t>Pathophysiologic</w:t>
      </w:r>
      <w:proofErr w:type="spellEnd"/>
      <w:r>
        <w:rPr>
          <w:color w:val="000000"/>
          <w:sz w:val="16"/>
          <w:szCs w:val="16"/>
          <w:lang w:val="es-ES_tradnl"/>
        </w:rPr>
        <w:t xml:space="preserve"> </w:t>
      </w:r>
      <w:proofErr w:type="spellStart"/>
      <w:r>
        <w:rPr>
          <w:color w:val="000000"/>
          <w:sz w:val="16"/>
          <w:szCs w:val="16"/>
          <w:lang w:val="es-ES_tradnl"/>
        </w:rPr>
        <w:t>Approach</w:t>
      </w:r>
      <w:proofErr w:type="spellEnd"/>
      <w:r>
        <w:rPr>
          <w:color w:val="000000"/>
          <w:sz w:val="16"/>
          <w:szCs w:val="16"/>
          <w:lang w:val="es-ES_tradnl"/>
        </w:rPr>
        <w:t xml:space="preserve">. </w:t>
      </w:r>
      <w:proofErr w:type="spellStart"/>
      <w:r>
        <w:rPr>
          <w:color w:val="000000"/>
          <w:sz w:val="16"/>
          <w:szCs w:val="16"/>
          <w:lang w:val="es-ES_tradnl"/>
        </w:rPr>
        <w:t>Third</w:t>
      </w:r>
      <w:proofErr w:type="spellEnd"/>
      <w:r>
        <w:rPr>
          <w:color w:val="000000"/>
          <w:sz w:val="16"/>
          <w:szCs w:val="16"/>
          <w:lang w:val="es-ES_tradnl"/>
        </w:rPr>
        <w:t xml:space="preserve"> </w:t>
      </w:r>
      <w:proofErr w:type="spellStart"/>
      <w:r>
        <w:rPr>
          <w:color w:val="000000"/>
          <w:sz w:val="16"/>
          <w:szCs w:val="16"/>
          <w:lang w:val="es-ES_tradnl"/>
        </w:rPr>
        <w:t>Edition</w:t>
      </w:r>
      <w:proofErr w:type="spellEnd"/>
      <w:r>
        <w:rPr>
          <w:color w:val="000000"/>
          <w:sz w:val="16"/>
          <w:szCs w:val="16"/>
          <w:lang w:val="es-ES_tradnl"/>
        </w:rPr>
        <w:t>. 1996.</w:t>
      </w:r>
    </w:p>
    <w:p w:rsidR="00930281" w:rsidRDefault="00930281" w:rsidP="00930281">
      <w:pPr>
        <w:ind w:left="567" w:hanging="567"/>
        <w:rPr>
          <w:color w:val="000000"/>
        </w:rPr>
      </w:pPr>
      <w:r>
        <w:rPr>
          <w:rFonts w:ascii="Wingdings" w:hAnsi="Wingdings"/>
          <w:color w:val="000000"/>
          <w:sz w:val="16"/>
          <w:szCs w:val="16"/>
          <w:lang w:val="es-ES_tradnl"/>
        </w:rPr>
        <w:lastRenderedPageBreak/>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 xml:space="preserve">El Manual </w:t>
      </w:r>
      <w:proofErr w:type="spellStart"/>
      <w:r>
        <w:rPr>
          <w:color w:val="000000"/>
          <w:sz w:val="16"/>
          <w:szCs w:val="16"/>
          <w:lang w:val="es-ES_tradnl"/>
        </w:rPr>
        <w:t>Merk</w:t>
      </w:r>
      <w:proofErr w:type="spellEnd"/>
      <w:r>
        <w:rPr>
          <w:color w:val="000000"/>
          <w:sz w:val="16"/>
          <w:szCs w:val="16"/>
          <w:lang w:val="es-ES_tradnl"/>
        </w:rPr>
        <w:t>. Novena Edición Española. 1994.</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 xml:space="preserve">Guía para Enfermeras sobre la Administración Intravenosa de Fármacos en las Unidades de Cuidados Intensivos Pediátricos. </w:t>
      </w:r>
      <w:proofErr w:type="spellStart"/>
      <w:r>
        <w:rPr>
          <w:color w:val="000000"/>
          <w:sz w:val="16"/>
          <w:szCs w:val="16"/>
          <w:lang w:val="es-ES_tradnl"/>
        </w:rPr>
        <w:t>Solá</w:t>
      </w:r>
      <w:proofErr w:type="spellEnd"/>
      <w:r>
        <w:rPr>
          <w:color w:val="000000"/>
          <w:sz w:val="16"/>
          <w:szCs w:val="16"/>
          <w:lang w:val="es-ES_tradnl"/>
        </w:rPr>
        <w:t xml:space="preserve"> N. Cavallo E. 1999.</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PR Vademécum. 1999.</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 xml:space="preserve">Manual </w:t>
      </w:r>
      <w:proofErr w:type="spellStart"/>
      <w:r>
        <w:rPr>
          <w:color w:val="000000"/>
          <w:sz w:val="16"/>
          <w:szCs w:val="16"/>
          <w:lang w:val="es-ES_tradnl"/>
        </w:rPr>
        <w:t>Farmacoterapéutico</w:t>
      </w:r>
      <w:proofErr w:type="spellEnd"/>
      <w:r>
        <w:rPr>
          <w:color w:val="000000"/>
          <w:sz w:val="16"/>
          <w:szCs w:val="16"/>
          <w:lang w:val="es-ES_tradnl"/>
        </w:rPr>
        <w:t xml:space="preserve"> de Alfa Beta ediciones. </w:t>
      </w:r>
      <w:proofErr w:type="spellStart"/>
      <w:r>
        <w:rPr>
          <w:color w:val="000000"/>
          <w:sz w:val="16"/>
          <w:szCs w:val="16"/>
          <w:lang w:val="es-ES_tradnl"/>
        </w:rPr>
        <w:t>Vademecum</w:t>
      </w:r>
      <w:proofErr w:type="spellEnd"/>
      <w:r>
        <w:rPr>
          <w:color w:val="000000"/>
          <w:sz w:val="16"/>
          <w:szCs w:val="16"/>
          <w:lang w:val="es-ES_tradnl"/>
        </w:rPr>
        <w:t xml:space="preserve"> de Especialidades Medicinales. Tercera Edición. Enero 1999.</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lang w:val="es-ES_tradnl"/>
        </w:rPr>
        <w:t>Manual Farmacéutico. Nº 476. Enero 2000.</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lang w:val="es-ES_tradnl"/>
        </w:rPr>
        <w:t>Anatomical</w:t>
      </w:r>
      <w:proofErr w:type="spellEnd"/>
      <w:r>
        <w:rPr>
          <w:color w:val="000000"/>
          <w:sz w:val="16"/>
          <w:szCs w:val="16"/>
          <w:lang w:val="es-ES_tradnl"/>
        </w:rPr>
        <w:t xml:space="preserve"> </w:t>
      </w:r>
      <w:proofErr w:type="spellStart"/>
      <w:r>
        <w:rPr>
          <w:color w:val="000000"/>
          <w:sz w:val="16"/>
          <w:szCs w:val="16"/>
          <w:lang w:val="es-ES_tradnl"/>
        </w:rPr>
        <w:t>Therapeutic</w:t>
      </w:r>
      <w:proofErr w:type="spellEnd"/>
      <w:r>
        <w:rPr>
          <w:color w:val="000000"/>
          <w:sz w:val="16"/>
          <w:szCs w:val="16"/>
          <w:lang w:val="es-ES_tradnl"/>
        </w:rPr>
        <w:t xml:space="preserve"> </w:t>
      </w:r>
      <w:proofErr w:type="spellStart"/>
      <w:r>
        <w:rPr>
          <w:color w:val="000000"/>
          <w:sz w:val="16"/>
          <w:szCs w:val="16"/>
          <w:lang w:val="es-ES_tradnl"/>
        </w:rPr>
        <w:t>Chemical</w:t>
      </w:r>
      <w:proofErr w:type="spellEnd"/>
      <w:r>
        <w:rPr>
          <w:color w:val="000000"/>
          <w:sz w:val="16"/>
          <w:szCs w:val="16"/>
          <w:lang w:val="es-ES_tradnl"/>
        </w:rPr>
        <w:t xml:space="preserve"> (ATC) </w:t>
      </w:r>
      <w:proofErr w:type="spellStart"/>
      <w:r>
        <w:rPr>
          <w:color w:val="000000"/>
          <w:sz w:val="16"/>
          <w:szCs w:val="16"/>
          <w:lang w:val="es-ES_tradnl"/>
        </w:rPr>
        <w:t>Classification</w:t>
      </w:r>
      <w:proofErr w:type="spellEnd"/>
      <w:r>
        <w:rPr>
          <w:color w:val="000000"/>
          <w:sz w:val="16"/>
          <w:szCs w:val="16"/>
          <w:lang w:val="es-ES_tradnl"/>
        </w:rPr>
        <w:t xml:space="preserve"> </w:t>
      </w:r>
      <w:proofErr w:type="spellStart"/>
      <w:r>
        <w:rPr>
          <w:color w:val="000000"/>
          <w:sz w:val="16"/>
          <w:szCs w:val="16"/>
          <w:lang w:val="es-ES_tradnl"/>
        </w:rPr>
        <w:t>Index</w:t>
      </w:r>
      <w:proofErr w:type="spellEnd"/>
      <w:r>
        <w:rPr>
          <w:color w:val="000000"/>
          <w:sz w:val="16"/>
          <w:szCs w:val="16"/>
          <w:lang w:val="es-ES_tradnl"/>
        </w:rPr>
        <w:t xml:space="preserve"> </w:t>
      </w:r>
      <w:proofErr w:type="spellStart"/>
      <w:r>
        <w:rPr>
          <w:color w:val="000000"/>
          <w:sz w:val="16"/>
          <w:szCs w:val="16"/>
          <w:lang w:val="es-ES_tradnl"/>
        </w:rPr>
        <w:t>Defined</w:t>
      </w:r>
      <w:proofErr w:type="spellEnd"/>
      <w:r>
        <w:rPr>
          <w:color w:val="000000"/>
          <w:sz w:val="16"/>
          <w:szCs w:val="16"/>
          <w:lang w:val="es-ES_tradnl"/>
        </w:rPr>
        <w:t xml:space="preserve"> </w:t>
      </w:r>
      <w:proofErr w:type="spellStart"/>
      <w:r>
        <w:rPr>
          <w:color w:val="000000"/>
          <w:sz w:val="16"/>
          <w:szCs w:val="16"/>
          <w:lang w:val="es-ES_tradnl"/>
        </w:rPr>
        <w:t>Daily</w:t>
      </w:r>
      <w:proofErr w:type="spellEnd"/>
      <w:r>
        <w:rPr>
          <w:color w:val="000000"/>
          <w:sz w:val="16"/>
          <w:szCs w:val="16"/>
          <w:lang w:val="es-ES_tradnl"/>
        </w:rPr>
        <w:t xml:space="preserve"> Doses (</w:t>
      </w:r>
      <w:proofErr w:type="spellStart"/>
      <w:r>
        <w:rPr>
          <w:color w:val="000000"/>
          <w:sz w:val="16"/>
          <w:szCs w:val="16"/>
          <w:lang w:val="es-ES_tradnl"/>
        </w:rPr>
        <w:t>DDDs</w:t>
      </w:r>
      <w:proofErr w:type="spellEnd"/>
      <w:r>
        <w:rPr>
          <w:color w:val="000000"/>
          <w:sz w:val="16"/>
          <w:szCs w:val="16"/>
          <w:lang w:val="es-ES_tradnl"/>
        </w:rPr>
        <w:t xml:space="preserve">). </w:t>
      </w:r>
      <w:proofErr w:type="spellStart"/>
      <w:r>
        <w:rPr>
          <w:color w:val="000000"/>
          <w:sz w:val="16"/>
          <w:szCs w:val="16"/>
          <w:lang w:val="es-ES_tradnl"/>
        </w:rPr>
        <w:t>January</w:t>
      </w:r>
      <w:proofErr w:type="spellEnd"/>
      <w:r>
        <w:rPr>
          <w:color w:val="000000"/>
          <w:sz w:val="16"/>
          <w:szCs w:val="16"/>
          <w:lang w:val="es-ES_tradnl"/>
        </w:rPr>
        <w:t xml:space="preserve"> 1997.</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lang w:val="es-ES_tradnl"/>
        </w:rPr>
        <w:t>Drug</w:t>
      </w:r>
      <w:proofErr w:type="spellEnd"/>
      <w:r>
        <w:rPr>
          <w:color w:val="000000"/>
          <w:sz w:val="16"/>
          <w:szCs w:val="16"/>
          <w:lang w:val="es-ES_tradnl"/>
        </w:rPr>
        <w:t xml:space="preserve"> </w:t>
      </w:r>
      <w:proofErr w:type="spellStart"/>
      <w:r>
        <w:rPr>
          <w:color w:val="000000"/>
          <w:sz w:val="16"/>
          <w:szCs w:val="16"/>
          <w:lang w:val="es-ES_tradnl"/>
        </w:rPr>
        <w:t>Information</w:t>
      </w:r>
      <w:proofErr w:type="spellEnd"/>
      <w:r>
        <w:rPr>
          <w:color w:val="000000"/>
          <w:sz w:val="16"/>
          <w:szCs w:val="16"/>
          <w:lang w:val="es-ES_tradnl"/>
        </w:rPr>
        <w:t xml:space="preserve">. American Hospital </w:t>
      </w:r>
      <w:proofErr w:type="spellStart"/>
      <w:r>
        <w:rPr>
          <w:color w:val="000000"/>
          <w:sz w:val="16"/>
          <w:szCs w:val="16"/>
          <w:lang w:val="es-ES_tradnl"/>
        </w:rPr>
        <w:t>Formulary</w:t>
      </w:r>
      <w:proofErr w:type="spellEnd"/>
      <w:r>
        <w:rPr>
          <w:color w:val="000000"/>
          <w:sz w:val="16"/>
          <w:szCs w:val="16"/>
          <w:lang w:val="es-ES_tradnl"/>
        </w:rPr>
        <w:t xml:space="preserve"> </w:t>
      </w:r>
      <w:proofErr w:type="spellStart"/>
      <w:r>
        <w:rPr>
          <w:color w:val="000000"/>
          <w:sz w:val="16"/>
          <w:szCs w:val="16"/>
          <w:lang w:val="es-ES_tradnl"/>
        </w:rPr>
        <w:t>Service</w:t>
      </w:r>
      <w:proofErr w:type="spellEnd"/>
      <w:r>
        <w:rPr>
          <w:color w:val="000000"/>
          <w:sz w:val="16"/>
          <w:szCs w:val="16"/>
          <w:lang w:val="es-ES_tradnl"/>
        </w:rPr>
        <w:t>. 1997.</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rPr>
        <w:t>Tryba</w:t>
      </w:r>
      <w:proofErr w:type="spellEnd"/>
      <w:r>
        <w:rPr>
          <w:color w:val="000000"/>
          <w:sz w:val="16"/>
          <w:szCs w:val="16"/>
        </w:rPr>
        <w:t xml:space="preserve"> M; Cook D. "</w:t>
      </w:r>
      <w:proofErr w:type="spellStart"/>
      <w:r>
        <w:rPr>
          <w:color w:val="000000"/>
          <w:sz w:val="16"/>
          <w:szCs w:val="16"/>
        </w:rPr>
        <w:t>Current</w:t>
      </w:r>
      <w:proofErr w:type="spellEnd"/>
      <w:r>
        <w:rPr>
          <w:color w:val="000000"/>
          <w:sz w:val="16"/>
          <w:szCs w:val="16"/>
        </w:rPr>
        <w:t xml:space="preserve"> </w:t>
      </w:r>
      <w:proofErr w:type="spellStart"/>
      <w:r>
        <w:rPr>
          <w:color w:val="000000"/>
          <w:sz w:val="16"/>
          <w:szCs w:val="16"/>
        </w:rPr>
        <w:t>guidelines</w:t>
      </w:r>
      <w:proofErr w:type="spellEnd"/>
      <w:r>
        <w:rPr>
          <w:color w:val="000000"/>
          <w:sz w:val="16"/>
          <w:szCs w:val="16"/>
        </w:rPr>
        <w:t xml:space="preserve"> </w:t>
      </w:r>
      <w:proofErr w:type="spellStart"/>
      <w:r>
        <w:rPr>
          <w:color w:val="000000"/>
          <w:sz w:val="16"/>
          <w:szCs w:val="16"/>
        </w:rPr>
        <w:t>on</w:t>
      </w:r>
      <w:proofErr w:type="spellEnd"/>
      <w:r>
        <w:rPr>
          <w:color w:val="000000"/>
          <w:sz w:val="16"/>
          <w:szCs w:val="16"/>
        </w:rPr>
        <w:t xml:space="preserve"> stress </w:t>
      </w:r>
      <w:proofErr w:type="spellStart"/>
      <w:r>
        <w:rPr>
          <w:color w:val="000000"/>
          <w:sz w:val="16"/>
          <w:szCs w:val="16"/>
        </w:rPr>
        <w:t>ulcer</w:t>
      </w:r>
      <w:proofErr w:type="spellEnd"/>
      <w:r>
        <w:rPr>
          <w:color w:val="000000"/>
          <w:sz w:val="16"/>
          <w:szCs w:val="16"/>
        </w:rPr>
        <w:t xml:space="preserve"> </w:t>
      </w:r>
      <w:proofErr w:type="spellStart"/>
      <w:r>
        <w:rPr>
          <w:color w:val="000000"/>
          <w:sz w:val="16"/>
          <w:szCs w:val="16"/>
        </w:rPr>
        <w:t>prophylaxis</w:t>
      </w:r>
      <w:proofErr w:type="spellEnd"/>
      <w:r>
        <w:rPr>
          <w:b/>
          <w:bCs/>
          <w:color w:val="000000"/>
          <w:sz w:val="16"/>
          <w:szCs w:val="16"/>
          <w:lang w:val="es-ES_tradnl"/>
        </w:rPr>
        <w:t>".</w:t>
      </w:r>
      <w:r>
        <w:rPr>
          <w:rStyle w:val="apple-converted-space"/>
          <w:b/>
          <w:bCs/>
          <w:color w:val="000000"/>
          <w:sz w:val="16"/>
          <w:szCs w:val="16"/>
          <w:lang w:val="es-ES_tradnl"/>
        </w:rPr>
        <w:t> </w:t>
      </w:r>
      <w:proofErr w:type="spellStart"/>
      <w:r>
        <w:rPr>
          <w:color w:val="000000"/>
          <w:sz w:val="16"/>
          <w:szCs w:val="16"/>
        </w:rPr>
        <w:t>Drugs</w:t>
      </w:r>
      <w:proofErr w:type="spellEnd"/>
      <w:r>
        <w:rPr>
          <w:color w:val="000000"/>
          <w:sz w:val="16"/>
          <w:szCs w:val="16"/>
        </w:rPr>
        <w:t xml:space="preserve">, 1997 Oct, 54:4, 581-96. </w:t>
      </w:r>
      <w:proofErr w:type="spellStart"/>
      <w:r>
        <w:rPr>
          <w:color w:val="000000"/>
          <w:sz w:val="16"/>
          <w:szCs w:val="16"/>
        </w:rPr>
        <w:t>Abstract</w:t>
      </w:r>
      <w:proofErr w:type="spellEnd"/>
      <w:r>
        <w:rPr>
          <w:color w:val="000000"/>
          <w:sz w:val="16"/>
          <w:szCs w:val="16"/>
        </w:rPr>
        <w:t xml:space="preserve"> en Base de Datos </w:t>
      </w:r>
      <w:proofErr w:type="spellStart"/>
      <w:r>
        <w:rPr>
          <w:color w:val="000000"/>
          <w:sz w:val="16"/>
          <w:szCs w:val="16"/>
        </w:rPr>
        <w:t>Medline</w:t>
      </w:r>
      <w:proofErr w:type="spellEnd"/>
      <w:r>
        <w:rPr>
          <w:color w:val="000000"/>
          <w:sz w:val="16"/>
          <w:szCs w:val="16"/>
        </w:rPr>
        <w:t xml:space="preserve"> &lt;http//www.healthgate.com/medline/adv-medline.shtml&gt;. Acceso libre. Búsqueda realizada el 29/03/00.</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r>
        <w:rPr>
          <w:color w:val="000000"/>
          <w:sz w:val="16"/>
          <w:szCs w:val="16"/>
        </w:rPr>
        <w:t xml:space="preserve">Cook D; </w:t>
      </w:r>
      <w:proofErr w:type="spellStart"/>
      <w:r>
        <w:rPr>
          <w:color w:val="000000"/>
          <w:sz w:val="16"/>
          <w:szCs w:val="16"/>
        </w:rPr>
        <w:t>Guyatt</w:t>
      </w:r>
      <w:proofErr w:type="spellEnd"/>
      <w:r>
        <w:rPr>
          <w:color w:val="000000"/>
          <w:sz w:val="16"/>
          <w:szCs w:val="16"/>
        </w:rPr>
        <w:t xml:space="preserve"> G; Marshall J; </w:t>
      </w:r>
      <w:proofErr w:type="spellStart"/>
      <w:r>
        <w:rPr>
          <w:color w:val="000000"/>
          <w:sz w:val="16"/>
          <w:szCs w:val="16"/>
        </w:rPr>
        <w:t>Leasa</w:t>
      </w:r>
      <w:proofErr w:type="spellEnd"/>
      <w:r>
        <w:rPr>
          <w:color w:val="000000"/>
          <w:sz w:val="16"/>
          <w:szCs w:val="16"/>
        </w:rPr>
        <w:t xml:space="preserve"> D; </w:t>
      </w:r>
      <w:proofErr w:type="spellStart"/>
      <w:r>
        <w:rPr>
          <w:color w:val="000000"/>
          <w:sz w:val="16"/>
          <w:szCs w:val="16"/>
        </w:rPr>
        <w:t>Fuller</w:t>
      </w:r>
      <w:proofErr w:type="spellEnd"/>
      <w:r>
        <w:rPr>
          <w:color w:val="000000"/>
          <w:sz w:val="16"/>
          <w:szCs w:val="16"/>
        </w:rPr>
        <w:t xml:space="preserve"> H; Hall R; </w:t>
      </w:r>
      <w:proofErr w:type="spellStart"/>
      <w:r>
        <w:rPr>
          <w:color w:val="000000"/>
          <w:sz w:val="16"/>
          <w:szCs w:val="16"/>
        </w:rPr>
        <w:t>Peters</w:t>
      </w:r>
      <w:proofErr w:type="spellEnd"/>
      <w:r>
        <w:rPr>
          <w:color w:val="000000"/>
          <w:sz w:val="16"/>
          <w:szCs w:val="16"/>
        </w:rPr>
        <w:t xml:space="preserve"> S; </w:t>
      </w:r>
      <w:proofErr w:type="spellStart"/>
      <w:r>
        <w:rPr>
          <w:color w:val="000000"/>
          <w:sz w:val="16"/>
          <w:szCs w:val="16"/>
        </w:rPr>
        <w:t>Rutledge</w:t>
      </w:r>
      <w:proofErr w:type="spellEnd"/>
      <w:r>
        <w:rPr>
          <w:color w:val="000000"/>
          <w:sz w:val="16"/>
          <w:szCs w:val="16"/>
        </w:rPr>
        <w:t xml:space="preserve"> F; </w:t>
      </w:r>
      <w:proofErr w:type="spellStart"/>
      <w:r>
        <w:rPr>
          <w:color w:val="000000"/>
          <w:sz w:val="16"/>
          <w:szCs w:val="16"/>
        </w:rPr>
        <w:t>Griffith</w:t>
      </w:r>
      <w:proofErr w:type="spellEnd"/>
      <w:r>
        <w:rPr>
          <w:color w:val="000000"/>
          <w:sz w:val="16"/>
          <w:szCs w:val="16"/>
        </w:rPr>
        <w:t xml:space="preserve"> </w:t>
      </w:r>
      <w:proofErr w:type="spellStart"/>
      <w:r>
        <w:rPr>
          <w:color w:val="000000"/>
          <w:sz w:val="16"/>
          <w:szCs w:val="16"/>
        </w:rPr>
        <w:t>L</w:t>
      </w:r>
      <w:proofErr w:type="gramStart"/>
      <w:r>
        <w:rPr>
          <w:color w:val="000000"/>
          <w:sz w:val="16"/>
          <w:szCs w:val="16"/>
        </w:rPr>
        <w:t>;McLellan</w:t>
      </w:r>
      <w:proofErr w:type="spellEnd"/>
      <w:proofErr w:type="gramEnd"/>
      <w:r>
        <w:rPr>
          <w:color w:val="000000"/>
          <w:sz w:val="16"/>
          <w:szCs w:val="16"/>
        </w:rPr>
        <w:t xml:space="preserve"> A; Wood G; </w:t>
      </w:r>
      <w:proofErr w:type="spellStart"/>
      <w:r>
        <w:rPr>
          <w:color w:val="000000"/>
          <w:sz w:val="16"/>
          <w:szCs w:val="16"/>
        </w:rPr>
        <w:t>Kirby</w:t>
      </w:r>
      <w:proofErr w:type="spellEnd"/>
      <w:r>
        <w:rPr>
          <w:color w:val="000000"/>
          <w:sz w:val="16"/>
          <w:szCs w:val="16"/>
        </w:rPr>
        <w:t xml:space="preserve"> A. "A </w:t>
      </w:r>
      <w:proofErr w:type="spellStart"/>
      <w:r>
        <w:rPr>
          <w:color w:val="000000"/>
          <w:sz w:val="16"/>
          <w:szCs w:val="16"/>
        </w:rPr>
        <w:t>comparison</w:t>
      </w:r>
      <w:proofErr w:type="spellEnd"/>
      <w:r>
        <w:rPr>
          <w:color w:val="000000"/>
          <w:sz w:val="16"/>
          <w:szCs w:val="16"/>
        </w:rPr>
        <w:t xml:space="preserve"> of </w:t>
      </w:r>
      <w:proofErr w:type="spellStart"/>
      <w:r>
        <w:rPr>
          <w:color w:val="000000"/>
          <w:sz w:val="16"/>
          <w:szCs w:val="16"/>
        </w:rPr>
        <w:t>sucralfate</w:t>
      </w:r>
      <w:proofErr w:type="spellEnd"/>
      <w:r>
        <w:rPr>
          <w:color w:val="000000"/>
          <w:sz w:val="16"/>
          <w:szCs w:val="16"/>
        </w:rPr>
        <w:t xml:space="preserve"> and </w:t>
      </w:r>
      <w:proofErr w:type="spellStart"/>
      <w:r>
        <w:rPr>
          <w:color w:val="000000"/>
          <w:sz w:val="16"/>
          <w:szCs w:val="16"/>
        </w:rPr>
        <w:t>ranitidine</w:t>
      </w:r>
      <w:proofErr w:type="spellEnd"/>
      <w:r>
        <w:rPr>
          <w:color w:val="000000"/>
          <w:sz w:val="16"/>
          <w:szCs w:val="16"/>
        </w:rPr>
        <w:t xml:space="preserve"> </w:t>
      </w:r>
      <w:proofErr w:type="spellStart"/>
      <w:r>
        <w:rPr>
          <w:color w:val="000000"/>
          <w:sz w:val="16"/>
          <w:szCs w:val="16"/>
        </w:rPr>
        <w:t>for</w:t>
      </w:r>
      <w:proofErr w:type="spellEnd"/>
      <w:r>
        <w:rPr>
          <w:color w:val="000000"/>
          <w:sz w:val="16"/>
          <w:szCs w:val="16"/>
        </w:rPr>
        <w:t xml:space="preserve"> </w:t>
      </w:r>
      <w:proofErr w:type="spellStart"/>
      <w:r>
        <w:rPr>
          <w:color w:val="000000"/>
          <w:sz w:val="16"/>
          <w:szCs w:val="16"/>
        </w:rPr>
        <w:t>the</w:t>
      </w:r>
      <w:proofErr w:type="spellEnd"/>
      <w:r>
        <w:rPr>
          <w:color w:val="000000"/>
          <w:sz w:val="16"/>
          <w:szCs w:val="16"/>
        </w:rPr>
        <w:t xml:space="preserve"> </w:t>
      </w:r>
      <w:proofErr w:type="spellStart"/>
      <w:r>
        <w:rPr>
          <w:color w:val="000000"/>
          <w:sz w:val="16"/>
          <w:szCs w:val="16"/>
        </w:rPr>
        <w:t>prevention</w:t>
      </w:r>
      <w:proofErr w:type="spellEnd"/>
      <w:r>
        <w:rPr>
          <w:color w:val="000000"/>
          <w:sz w:val="16"/>
          <w:szCs w:val="16"/>
        </w:rPr>
        <w:t xml:space="preserve"> of </w:t>
      </w:r>
      <w:proofErr w:type="spellStart"/>
      <w:r>
        <w:rPr>
          <w:color w:val="000000"/>
          <w:sz w:val="16"/>
          <w:szCs w:val="16"/>
        </w:rPr>
        <w:t>upper</w:t>
      </w:r>
      <w:proofErr w:type="spellEnd"/>
      <w:r>
        <w:rPr>
          <w:color w:val="000000"/>
          <w:sz w:val="16"/>
          <w:szCs w:val="16"/>
        </w:rPr>
        <w:t xml:space="preserve"> gastrointestinal </w:t>
      </w:r>
      <w:proofErr w:type="spellStart"/>
      <w:r>
        <w:rPr>
          <w:color w:val="000000"/>
          <w:sz w:val="16"/>
          <w:szCs w:val="16"/>
        </w:rPr>
        <w:t>bleeding</w:t>
      </w:r>
      <w:proofErr w:type="spellEnd"/>
      <w:r>
        <w:rPr>
          <w:color w:val="000000"/>
          <w:sz w:val="16"/>
          <w:szCs w:val="16"/>
        </w:rPr>
        <w:t xml:space="preserve"> in </w:t>
      </w:r>
      <w:proofErr w:type="spellStart"/>
      <w:r>
        <w:rPr>
          <w:color w:val="000000"/>
          <w:sz w:val="16"/>
          <w:szCs w:val="16"/>
        </w:rPr>
        <w:t>patients</w:t>
      </w:r>
      <w:proofErr w:type="spellEnd"/>
      <w:r>
        <w:rPr>
          <w:color w:val="000000"/>
          <w:sz w:val="16"/>
          <w:szCs w:val="16"/>
        </w:rPr>
        <w:t xml:space="preserve"> </w:t>
      </w:r>
      <w:proofErr w:type="spellStart"/>
      <w:r>
        <w:rPr>
          <w:color w:val="000000"/>
          <w:sz w:val="16"/>
          <w:szCs w:val="16"/>
        </w:rPr>
        <w:t>requiring</w:t>
      </w:r>
      <w:proofErr w:type="spellEnd"/>
      <w:r>
        <w:rPr>
          <w:color w:val="000000"/>
          <w:sz w:val="16"/>
          <w:szCs w:val="16"/>
        </w:rPr>
        <w:t xml:space="preserve"> </w:t>
      </w:r>
      <w:proofErr w:type="spellStart"/>
      <w:r>
        <w:rPr>
          <w:color w:val="000000"/>
          <w:sz w:val="16"/>
          <w:szCs w:val="16"/>
        </w:rPr>
        <w:t>mechanical</w:t>
      </w:r>
      <w:proofErr w:type="spellEnd"/>
      <w:r>
        <w:rPr>
          <w:color w:val="000000"/>
          <w:sz w:val="16"/>
          <w:szCs w:val="16"/>
        </w:rPr>
        <w:t xml:space="preserve"> </w:t>
      </w:r>
      <w:proofErr w:type="spellStart"/>
      <w:r>
        <w:rPr>
          <w:color w:val="000000"/>
          <w:sz w:val="16"/>
          <w:szCs w:val="16"/>
        </w:rPr>
        <w:t>ventilation</w:t>
      </w:r>
      <w:proofErr w:type="spellEnd"/>
      <w:r>
        <w:rPr>
          <w:color w:val="000000"/>
          <w:sz w:val="16"/>
          <w:szCs w:val="16"/>
        </w:rPr>
        <w:t xml:space="preserve">. Canadian </w:t>
      </w:r>
      <w:proofErr w:type="spellStart"/>
      <w:r>
        <w:rPr>
          <w:color w:val="000000"/>
          <w:sz w:val="16"/>
          <w:szCs w:val="16"/>
        </w:rPr>
        <w:t>Critical</w:t>
      </w:r>
      <w:proofErr w:type="spellEnd"/>
      <w:r>
        <w:rPr>
          <w:color w:val="000000"/>
          <w:sz w:val="16"/>
          <w:szCs w:val="16"/>
        </w:rPr>
        <w:t xml:space="preserve"> </w:t>
      </w:r>
      <w:proofErr w:type="spellStart"/>
      <w:r>
        <w:rPr>
          <w:color w:val="000000"/>
          <w:sz w:val="16"/>
          <w:szCs w:val="16"/>
        </w:rPr>
        <w:t>Care</w:t>
      </w:r>
      <w:proofErr w:type="spellEnd"/>
      <w:r>
        <w:rPr>
          <w:color w:val="000000"/>
          <w:sz w:val="16"/>
          <w:szCs w:val="16"/>
        </w:rPr>
        <w:t xml:space="preserve"> </w:t>
      </w:r>
      <w:proofErr w:type="spellStart"/>
      <w:r>
        <w:rPr>
          <w:color w:val="000000"/>
          <w:sz w:val="16"/>
          <w:szCs w:val="16"/>
        </w:rPr>
        <w:t>Trials</w:t>
      </w:r>
      <w:proofErr w:type="spellEnd"/>
      <w:r>
        <w:rPr>
          <w:color w:val="000000"/>
          <w:sz w:val="16"/>
          <w:szCs w:val="16"/>
        </w:rPr>
        <w:t xml:space="preserve"> </w:t>
      </w:r>
      <w:proofErr w:type="spellStart"/>
      <w:r>
        <w:rPr>
          <w:color w:val="000000"/>
          <w:sz w:val="16"/>
          <w:szCs w:val="16"/>
        </w:rPr>
        <w:t>Group</w:t>
      </w:r>
      <w:proofErr w:type="spellEnd"/>
      <w:r>
        <w:rPr>
          <w:color w:val="000000"/>
          <w:sz w:val="16"/>
          <w:szCs w:val="16"/>
        </w:rPr>
        <w:t xml:space="preserve">". N </w:t>
      </w:r>
      <w:proofErr w:type="spellStart"/>
      <w:r>
        <w:rPr>
          <w:color w:val="000000"/>
          <w:sz w:val="16"/>
          <w:szCs w:val="16"/>
        </w:rPr>
        <w:t>Engl</w:t>
      </w:r>
      <w:proofErr w:type="spellEnd"/>
      <w:r>
        <w:rPr>
          <w:color w:val="000000"/>
          <w:sz w:val="16"/>
          <w:szCs w:val="16"/>
        </w:rPr>
        <w:t xml:space="preserve"> J </w:t>
      </w:r>
      <w:proofErr w:type="spellStart"/>
      <w:r>
        <w:rPr>
          <w:color w:val="000000"/>
          <w:sz w:val="16"/>
          <w:szCs w:val="16"/>
        </w:rPr>
        <w:t>Med</w:t>
      </w:r>
      <w:proofErr w:type="spellEnd"/>
      <w:r>
        <w:rPr>
          <w:color w:val="000000"/>
          <w:sz w:val="16"/>
          <w:szCs w:val="16"/>
        </w:rPr>
        <w:t xml:space="preserve">, 1998 Mar, 338:12, 791-7. </w:t>
      </w:r>
      <w:proofErr w:type="spellStart"/>
      <w:r>
        <w:rPr>
          <w:color w:val="000000"/>
          <w:sz w:val="16"/>
          <w:szCs w:val="16"/>
        </w:rPr>
        <w:t>Abstract</w:t>
      </w:r>
      <w:proofErr w:type="spellEnd"/>
      <w:r>
        <w:rPr>
          <w:color w:val="000000"/>
          <w:sz w:val="16"/>
          <w:szCs w:val="16"/>
        </w:rPr>
        <w:t xml:space="preserve"> en Base de Datos </w:t>
      </w:r>
      <w:proofErr w:type="spellStart"/>
      <w:r>
        <w:rPr>
          <w:color w:val="000000"/>
          <w:sz w:val="16"/>
          <w:szCs w:val="16"/>
        </w:rPr>
        <w:t>Medline</w:t>
      </w:r>
      <w:proofErr w:type="spellEnd"/>
      <w:r>
        <w:rPr>
          <w:color w:val="000000"/>
          <w:sz w:val="16"/>
          <w:szCs w:val="16"/>
        </w:rPr>
        <w:t xml:space="preserve"> &lt;http//www.healthgate.com/medline/adv-medline.shtml&gt;. Acceso libre. Búsqueda realizada el 29/03/00.</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rPr>
        <w:t>Kress</w:t>
      </w:r>
      <w:proofErr w:type="spellEnd"/>
      <w:r>
        <w:rPr>
          <w:color w:val="000000"/>
          <w:sz w:val="16"/>
          <w:szCs w:val="16"/>
        </w:rPr>
        <w:t xml:space="preserve"> S; Schilling D; </w:t>
      </w:r>
      <w:proofErr w:type="spellStart"/>
      <w:r>
        <w:rPr>
          <w:color w:val="000000"/>
          <w:sz w:val="16"/>
          <w:szCs w:val="16"/>
        </w:rPr>
        <w:t>Riemann</w:t>
      </w:r>
      <w:proofErr w:type="spellEnd"/>
      <w:r>
        <w:rPr>
          <w:color w:val="000000"/>
          <w:sz w:val="16"/>
          <w:szCs w:val="16"/>
        </w:rPr>
        <w:t xml:space="preserve"> JF. "Concept of stress </w:t>
      </w:r>
      <w:proofErr w:type="spellStart"/>
      <w:r>
        <w:rPr>
          <w:color w:val="000000"/>
          <w:sz w:val="16"/>
          <w:szCs w:val="16"/>
        </w:rPr>
        <w:t>ulcer</w:t>
      </w:r>
      <w:proofErr w:type="spellEnd"/>
      <w:r>
        <w:rPr>
          <w:color w:val="000000"/>
          <w:sz w:val="16"/>
          <w:szCs w:val="16"/>
        </w:rPr>
        <w:t xml:space="preserve"> </w:t>
      </w:r>
      <w:proofErr w:type="spellStart"/>
      <w:r>
        <w:rPr>
          <w:color w:val="000000"/>
          <w:sz w:val="16"/>
          <w:szCs w:val="16"/>
        </w:rPr>
        <w:t>prevention</w:t>
      </w:r>
      <w:proofErr w:type="spellEnd"/>
      <w:r>
        <w:rPr>
          <w:color w:val="000000"/>
          <w:sz w:val="16"/>
          <w:szCs w:val="16"/>
        </w:rPr>
        <w:t xml:space="preserve">. </w:t>
      </w:r>
      <w:proofErr w:type="spellStart"/>
      <w:r>
        <w:rPr>
          <w:color w:val="000000"/>
          <w:sz w:val="16"/>
          <w:szCs w:val="16"/>
        </w:rPr>
        <w:t>Is</w:t>
      </w:r>
      <w:proofErr w:type="spellEnd"/>
      <w:r>
        <w:rPr>
          <w:color w:val="000000"/>
          <w:sz w:val="16"/>
          <w:szCs w:val="16"/>
        </w:rPr>
        <w:t xml:space="preserve"> re-</w:t>
      </w:r>
      <w:proofErr w:type="spellStart"/>
      <w:r>
        <w:rPr>
          <w:color w:val="000000"/>
          <w:sz w:val="16"/>
          <w:szCs w:val="16"/>
        </w:rPr>
        <w:t>thinking</w:t>
      </w:r>
      <w:proofErr w:type="spellEnd"/>
      <w:r>
        <w:rPr>
          <w:color w:val="000000"/>
          <w:sz w:val="16"/>
          <w:szCs w:val="16"/>
        </w:rPr>
        <w:t xml:space="preserve"> </w:t>
      </w:r>
      <w:proofErr w:type="spellStart"/>
      <w:r>
        <w:rPr>
          <w:color w:val="000000"/>
          <w:sz w:val="16"/>
          <w:szCs w:val="16"/>
        </w:rPr>
        <w:t>necessary</w:t>
      </w:r>
      <w:proofErr w:type="spellEnd"/>
      <w:r>
        <w:rPr>
          <w:color w:val="000000"/>
          <w:sz w:val="16"/>
          <w:szCs w:val="16"/>
        </w:rPr>
        <w:t xml:space="preserve">?". </w:t>
      </w:r>
      <w:proofErr w:type="spellStart"/>
      <w:r>
        <w:rPr>
          <w:color w:val="000000"/>
          <w:sz w:val="16"/>
          <w:szCs w:val="16"/>
        </w:rPr>
        <w:t>Med</w:t>
      </w:r>
      <w:proofErr w:type="spellEnd"/>
      <w:r>
        <w:rPr>
          <w:color w:val="000000"/>
          <w:sz w:val="16"/>
          <w:szCs w:val="16"/>
        </w:rPr>
        <w:t xml:space="preserve"> </w:t>
      </w:r>
      <w:proofErr w:type="spellStart"/>
      <w:r>
        <w:rPr>
          <w:color w:val="000000"/>
          <w:sz w:val="16"/>
          <w:szCs w:val="16"/>
        </w:rPr>
        <w:t>Klin</w:t>
      </w:r>
      <w:proofErr w:type="spellEnd"/>
      <w:r>
        <w:rPr>
          <w:color w:val="000000"/>
          <w:sz w:val="16"/>
          <w:szCs w:val="16"/>
        </w:rPr>
        <w:t xml:space="preserve">, 1998 </w:t>
      </w:r>
      <w:proofErr w:type="spellStart"/>
      <w:r>
        <w:rPr>
          <w:color w:val="000000"/>
          <w:sz w:val="16"/>
          <w:szCs w:val="16"/>
        </w:rPr>
        <w:t>Aug</w:t>
      </w:r>
      <w:proofErr w:type="spellEnd"/>
      <w:r>
        <w:rPr>
          <w:color w:val="000000"/>
          <w:sz w:val="16"/>
          <w:szCs w:val="16"/>
        </w:rPr>
        <w:t xml:space="preserve">, 93:8, 486-91. </w:t>
      </w:r>
      <w:proofErr w:type="spellStart"/>
      <w:r>
        <w:rPr>
          <w:color w:val="000000"/>
          <w:sz w:val="16"/>
          <w:szCs w:val="16"/>
        </w:rPr>
        <w:t>Abstract</w:t>
      </w:r>
      <w:proofErr w:type="spellEnd"/>
      <w:r>
        <w:rPr>
          <w:color w:val="000000"/>
          <w:sz w:val="16"/>
          <w:szCs w:val="16"/>
        </w:rPr>
        <w:t xml:space="preserve"> en Base de Datos </w:t>
      </w:r>
      <w:proofErr w:type="spellStart"/>
      <w:r>
        <w:rPr>
          <w:color w:val="000000"/>
          <w:sz w:val="16"/>
          <w:szCs w:val="16"/>
        </w:rPr>
        <w:t>Medline</w:t>
      </w:r>
      <w:proofErr w:type="spellEnd"/>
      <w:r>
        <w:rPr>
          <w:color w:val="000000"/>
          <w:sz w:val="16"/>
          <w:szCs w:val="16"/>
        </w:rPr>
        <w:t xml:space="preserve"> &lt;http//www.healthgate.com/medline/adv-medline.shtml&gt;. Acceso libre. Búsqueda realizada el 29/03/00.</w:t>
      </w:r>
    </w:p>
    <w:p w:rsidR="00930281" w:rsidRDefault="00930281" w:rsidP="00930281">
      <w:pPr>
        <w:ind w:left="567" w:hanging="567"/>
        <w:rPr>
          <w:color w:val="000000"/>
        </w:rPr>
      </w:pPr>
      <w:r>
        <w:rPr>
          <w:rFonts w:ascii="Wingdings" w:hAnsi="Wingdings"/>
          <w:color w:val="000000"/>
          <w:sz w:val="16"/>
          <w:szCs w:val="16"/>
        </w:rPr>
        <w:t></w:t>
      </w:r>
      <w:r>
        <w:rPr>
          <w:color w:val="000000"/>
          <w:sz w:val="14"/>
          <w:szCs w:val="14"/>
        </w:rPr>
        <w:t>            </w:t>
      </w:r>
      <w:r>
        <w:rPr>
          <w:rStyle w:val="apple-converted-space"/>
          <w:color w:val="000000"/>
          <w:sz w:val="14"/>
          <w:szCs w:val="14"/>
        </w:rPr>
        <w:t> </w:t>
      </w:r>
      <w:proofErr w:type="spellStart"/>
      <w:r>
        <w:rPr>
          <w:color w:val="000000"/>
          <w:sz w:val="16"/>
          <w:szCs w:val="16"/>
        </w:rPr>
        <w:t>Geus</w:t>
      </w:r>
      <w:proofErr w:type="spellEnd"/>
      <w:r>
        <w:rPr>
          <w:color w:val="000000"/>
          <w:sz w:val="16"/>
          <w:szCs w:val="16"/>
        </w:rPr>
        <w:t xml:space="preserve"> WP; </w:t>
      </w:r>
      <w:proofErr w:type="spellStart"/>
      <w:r>
        <w:rPr>
          <w:color w:val="000000"/>
          <w:sz w:val="16"/>
          <w:szCs w:val="16"/>
        </w:rPr>
        <w:t>Lamers</w:t>
      </w:r>
      <w:proofErr w:type="spellEnd"/>
      <w:r>
        <w:rPr>
          <w:color w:val="000000"/>
          <w:sz w:val="16"/>
          <w:szCs w:val="16"/>
        </w:rPr>
        <w:t xml:space="preserve"> CB. "</w:t>
      </w:r>
      <w:proofErr w:type="spellStart"/>
      <w:r>
        <w:rPr>
          <w:color w:val="000000"/>
          <w:sz w:val="16"/>
          <w:szCs w:val="16"/>
        </w:rPr>
        <w:t>Intravenous</w:t>
      </w:r>
      <w:proofErr w:type="spellEnd"/>
      <w:r>
        <w:rPr>
          <w:color w:val="000000"/>
          <w:sz w:val="16"/>
          <w:szCs w:val="16"/>
        </w:rPr>
        <w:t xml:space="preserve"> </w:t>
      </w:r>
      <w:proofErr w:type="spellStart"/>
      <w:r>
        <w:rPr>
          <w:color w:val="000000"/>
          <w:sz w:val="16"/>
          <w:szCs w:val="16"/>
        </w:rPr>
        <w:t>gastric</w:t>
      </w:r>
      <w:proofErr w:type="spellEnd"/>
      <w:r>
        <w:rPr>
          <w:color w:val="000000"/>
          <w:sz w:val="16"/>
          <w:szCs w:val="16"/>
        </w:rPr>
        <w:t xml:space="preserve"> </w:t>
      </w:r>
      <w:proofErr w:type="spellStart"/>
      <w:r>
        <w:rPr>
          <w:color w:val="000000"/>
          <w:sz w:val="16"/>
          <w:szCs w:val="16"/>
        </w:rPr>
        <w:t>acid</w:t>
      </w:r>
      <w:proofErr w:type="spellEnd"/>
      <w:r>
        <w:rPr>
          <w:color w:val="000000"/>
          <w:sz w:val="16"/>
          <w:szCs w:val="16"/>
        </w:rPr>
        <w:t xml:space="preserve"> </w:t>
      </w:r>
      <w:proofErr w:type="spellStart"/>
      <w:r>
        <w:rPr>
          <w:color w:val="000000"/>
          <w:sz w:val="16"/>
          <w:szCs w:val="16"/>
        </w:rPr>
        <w:t>inhibition</w:t>
      </w:r>
      <w:proofErr w:type="spellEnd"/>
      <w:r>
        <w:rPr>
          <w:color w:val="000000"/>
          <w:sz w:val="16"/>
          <w:szCs w:val="16"/>
        </w:rPr>
        <w:t xml:space="preserve"> </w:t>
      </w:r>
      <w:proofErr w:type="spellStart"/>
      <w:r>
        <w:rPr>
          <w:color w:val="000000"/>
          <w:sz w:val="16"/>
          <w:szCs w:val="16"/>
        </w:rPr>
        <w:t>for</w:t>
      </w:r>
      <w:proofErr w:type="spellEnd"/>
      <w:r>
        <w:rPr>
          <w:color w:val="000000"/>
          <w:sz w:val="16"/>
          <w:szCs w:val="16"/>
        </w:rPr>
        <w:t xml:space="preserve"> stress </w:t>
      </w:r>
      <w:proofErr w:type="spellStart"/>
      <w:r>
        <w:rPr>
          <w:color w:val="000000"/>
          <w:sz w:val="16"/>
          <w:szCs w:val="16"/>
        </w:rPr>
        <w:t>ulcers</w:t>
      </w:r>
      <w:proofErr w:type="spellEnd"/>
      <w:r>
        <w:rPr>
          <w:color w:val="000000"/>
          <w:sz w:val="16"/>
          <w:szCs w:val="16"/>
        </w:rPr>
        <w:t xml:space="preserve"> and </w:t>
      </w:r>
      <w:proofErr w:type="spellStart"/>
      <w:r>
        <w:rPr>
          <w:color w:val="000000"/>
          <w:sz w:val="16"/>
          <w:szCs w:val="16"/>
        </w:rPr>
        <w:t>bleeding</w:t>
      </w:r>
      <w:proofErr w:type="spellEnd"/>
      <w:r>
        <w:rPr>
          <w:color w:val="000000"/>
          <w:sz w:val="16"/>
          <w:szCs w:val="16"/>
        </w:rPr>
        <w:t xml:space="preserve"> </w:t>
      </w:r>
      <w:proofErr w:type="spellStart"/>
      <w:r>
        <w:rPr>
          <w:color w:val="000000"/>
          <w:sz w:val="16"/>
          <w:szCs w:val="16"/>
        </w:rPr>
        <w:t>peptic</w:t>
      </w:r>
      <w:proofErr w:type="spellEnd"/>
      <w:r>
        <w:rPr>
          <w:color w:val="000000"/>
          <w:sz w:val="16"/>
          <w:szCs w:val="16"/>
        </w:rPr>
        <w:t xml:space="preserve"> </w:t>
      </w:r>
      <w:proofErr w:type="spellStart"/>
      <w:r>
        <w:rPr>
          <w:color w:val="000000"/>
          <w:sz w:val="16"/>
          <w:szCs w:val="16"/>
        </w:rPr>
        <w:t>ulcers</w:t>
      </w:r>
      <w:proofErr w:type="spellEnd"/>
      <w:r>
        <w:rPr>
          <w:color w:val="000000"/>
          <w:sz w:val="16"/>
          <w:szCs w:val="16"/>
        </w:rPr>
        <w:t xml:space="preserve">". </w:t>
      </w:r>
      <w:proofErr w:type="spellStart"/>
      <w:r>
        <w:rPr>
          <w:color w:val="000000"/>
          <w:sz w:val="16"/>
          <w:szCs w:val="16"/>
        </w:rPr>
        <w:t>Ned</w:t>
      </w:r>
      <w:proofErr w:type="spellEnd"/>
      <w:r>
        <w:rPr>
          <w:color w:val="000000"/>
          <w:sz w:val="16"/>
          <w:szCs w:val="16"/>
        </w:rPr>
        <w:t xml:space="preserve"> </w:t>
      </w:r>
      <w:proofErr w:type="spellStart"/>
      <w:r>
        <w:rPr>
          <w:color w:val="000000"/>
          <w:sz w:val="16"/>
          <w:szCs w:val="16"/>
        </w:rPr>
        <w:t>Tijdschr</w:t>
      </w:r>
      <w:proofErr w:type="spellEnd"/>
      <w:r>
        <w:rPr>
          <w:color w:val="000000"/>
          <w:sz w:val="16"/>
          <w:szCs w:val="16"/>
        </w:rPr>
        <w:t xml:space="preserve"> </w:t>
      </w:r>
      <w:proofErr w:type="spellStart"/>
      <w:r>
        <w:rPr>
          <w:color w:val="000000"/>
          <w:sz w:val="16"/>
          <w:szCs w:val="16"/>
        </w:rPr>
        <w:t>Geneeskd</w:t>
      </w:r>
      <w:proofErr w:type="spellEnd"/>
      <w:r>
        <w:rPr>
          <w:color w:val="000000"/>
          <w:sz w:val="16"/>
          <w:szCs w:val="16"/>
        </w:rPr>
        <w:t xml:space="preserve">, 1999 </w:t>
      </w:r>
      <w:proofErr w:type="spellStart"/>
      <w:r>
        <w:rPr>
          <w:color w:val="000000"/>
          <w:sz w:val="16"/>
          <w:szCs w:val="16"/>
        </w:rPr>
        <w:t>Dec</w:t>
      </w:r>
      <w:proofErr w:type="spellEnd"/>
      <w:r>
        <w:rPr>
          <w:color w:val="000000"/>
          <w:sz w:val="16"/>
          <w:szCs w:val="16"/>
        </w:rPr>
        <w:t xml:space="preserve">, 143:50, 2514-8. </w:t>
      </w:r>
      <w:proofErr w:type="spellStart"/>
      <w:r>
        <w:rPr>
          <w:color w:val="000000"/>
          <w:sz w:val="16"/>
          <w:szCs w:val="16"/>
        </w:rPr>
        <w:t>Abstract</w:t>
      </w:r>
      <w:proofErr w:type="spellEnd"/>
      <w:r>
        <w:rPr>
          <w:color w:val="000000"/>
          <w:sz w:val="16"/>
          <w:szCs w:val="16"/>
        </w:rPr>
        <w:t xml:space="preserve"> en Base de Datos </w:t>
      </w:r>
      <w:proofErr w:type="spellStart"/>
      <w:r>
        <w:rPr>
          <w:color w:val="000000"/>
          <w:sz w:val="16"/>
          <w:szCs w:val="16"/>
        </w:rPr>
        <w:t>Medline</w:t>
      </w:r>
      <w:proofErr w:type="spellEnd"/>
      <w:r>
        <w:rPr>
          <w:color w:val="000000"/>
          <w:sz w:val="16"/>
          <w:szCs w:val="16"/>
        </w:rPr>
        <w:t xml:space="preserve"> &lt;http//www.healthgate.com/medline/adv-medline.shtml&gt;. Acceso libre. Búsqueda realizada el 29/03/00.</w:t>
      </w:r>
    </w:p>
    <w:p w:rsidR="00930281" w:rsidRDefault="00930281" w:rsidP="00930281">
      <w:pPr>
        <w:ind w:left="567" w:hanging="567"/>
        <w:rPr>
          <w:color w:val="000000"/>
        </w:rPr>
      </w:pPr>
      <w:r>
        <w:rPr>
          <w:rFonts w:ascii="Wingdings" w:hAnsi="Wingdings"/>
          <w:color w:val="000000"/>
          <w:sz w:val="16"/>
          <w:szCs w:val="16"/>
          <w:lang w:val="es-ES_tradnl"/>
        </w:rPr>
        <w:t></w:t>
      </w:r>
      <w:r>
        <w:rPr>
          <w:color w:val="000000"/>
          <w:sz w:val="14"/>
          <w:szCs w:val="14"/>
          <w:lang w:val="es-ES_tradnl"/>
        </w:rPr>
        <w:t>            </w:t>
      </w:r>
      <w:r>
        <w:rPr>
          <w:rStyle w:val="apple-converted-space"/>
          <w:color w:val="000000"/>
          <w:sz w:val="14"/>
          <w:szCs w:val="14"/>
          <w:lang w:val="es-ES_tradnl"/>
        </w:rPr>
        <w:t> </w:t>
      </w:r>
      <w:proofErr w:type="spellStart"/>
      <w:r>
        <w:rPr>
          <w:color w:val="000000"/>
          <w:sz w:val="16"/>
          <w:szCs w:val="16"/>
        </w:rPr>
        <w:t>Piper</w:t>
      </w:r>
      <w:proofErr w:type="spellEnd"/>
      <w:r>
        <w:rPr>
          <w:color w:val="000000"/>
          <w:sz w:val="16"/>
          <w:szCs w:val="16"/>
        </w:rPr>
        <w:t xml:space="preserve"> DW. “A </w:t>
      </w:r>
      <w:proofErr w:type="spellStart"/>
      <w:r>
        <w:rPr>
          <w:color w:val="000000"/>
          <w:sz w:val="16"/>
          <w:szCs w:val="16"/>
        </w:rPr>
        <w:t>comparative</w:t>
      </w:r>
      <w:proofErr w:type="spellEnd"/>
      <w:r>
        <w:rPr>
          <w:color w:val="000000"/>
          <w:sz w:val="16"/>
          <w:szCs w:val="16"/>
        </w:rPr>
        <w:t xml:space="preserve"> </w:t>
      </w:r>
      <w:proofErr w:type="spellStart"/>
      <w:r>
        <w:rPr>
          <w:color w:val="000000"/>
          <w:sz w:val="16"/>
          <w:szCs w:val="16"/>
        </w:rPr>
        <w:t>overview</w:t>
      </w:r>
      <w:proofErr w:type="spellEnd"/>
      <w:r>
        <w:rPr>
          <w:color w:val="000000"/>
          <w:sz w:val="16"/>
          <w:szCs w:val="16"/>
        </w:rPr>
        <w:t xml:space="preserve"> of </w:t>
      </w:r>
      <w:proofErr w:type="spellStart"/>
      <w:r>
        <w:rPr>
          <w:color w:val="000000"/>
          <w:sz w:val="16"/>
          <w:szCs w:val="16"/>
        </w:rPr>
        <w:t>the</w:t>
      </w:r>
      <w:proofErr w:type="spellEnd"/>
      <w:r>
        <w:rPr>
          <w:color w:val="000000"/>
          <w:sz w:val="16"/>
          <w:szCs w:val="16"/>
        </w:rPr>
        <w:t xml:space="preserve"> adverse </w:t>
      </w:r>
      <w:proofErr w:type="spellStart"/>
      <w:r>
        <w:rPr>
          <w:color w:val="000000"/>
          <w:sz w:val="16"/>
          <w:szCs w:val="16"/>
        </w:rPr>
        <w:t>effects</w:t>
      </w:r>
      <w:proofErr w:type="spellEnd"/>
      <w:r>
        <w:rPr>
          <w:color w:val="000000"/>
          <w:sz w:val="16"/>
          <w:szCs w:val="16"/>
        </w:rPr>
        <w:t xml:space="preserve"> of </w:t>
      </w:r>
      <w:proofErr w:type="spellStart"/>
      <w:r>
        <w:rPr>
          <w:color w:val="000000"/>
          <w:sz w:val="16"/>
          <w:szCs w:val="16"/>
        </w:rPr>
        <w:t>antiulcer</w:t>
      </w:r>
      <w:proofErr w:type="spellEnd"/>
      <w:r>
        <w:rPr>
          <w:color w:val="000000"/>
          <w:sz w:val="16"/>
          <w:szCs w:val="16"/>
        </w:rPr>
        <w:t xml:space="preserve"> </w:t>
      </w:r>
      <w:proofErr w:type="spellStart"/>
      <w:r>
        <w:rPr>
          <w:color w:val="000000"/>
          <w:sz w:val="16"/>
          <w:szCs w:val="16"/>
        </w:rPr>
        <w:t>drugs</w:t>
      </w:r>
      <w:proofErr w:type="spellEnd"/>
      <w:r>
        <w:rPr>
          <w:color w:val="000000"/>
          <w:sz w:val="16"/>
          <w:szCs w:val="16"/>
        </w:rPr>
        <w:t xml:space="preserve">.” </w:t>
      </w:r>
      <w:proofErr w:type="spellStart"/>
      <w:r>
        <w:rPr>
          <w:color w:val="000000"/>
          <w:sz w:val="16"/>
          <w:szCs w:val="16"/>
        </w:rPr>
        <w:t>Drug</w:t>
      </w:r>
      <w:proofErr w:type="spellEnd"/>
      <w:r>
        <w:rPr>
          <w:color w:val="000000"/>
          <w:sz w:val="16"/>
          <w:szCs w:val="16"/>
        </w:rPr>
        <w:t xml:space="preserve"> </w:t>
      </w:r>
      <w:proofErr w:type="spellStart"/>
      <w:r>
        <w:rPr>
          <w:color w:val="000000"/>
          <w:sz w:val="16"/>
          <w:szCs w:val="16"/>
        </w:rPr>
        <w:t>Saf</w:t>
      </w:r>
      <w:proofErr w:type="spellEnd"/>
      <w:r>
        <w:rPr>
          <w:color w:val="000000"/>
          <w:sz w:val="16"/>
          <w:szCs w:val="16"/>
        </w:rPr>
        <w:t xml:space="preserve">, 1995 Feb, 12:2, 120-38. </w:t>
      </w:r>
      <w:proofErr w:type="spellStart"/>
      <w:r>
        <w:rPr>
          <w:color w:val="000000"/>
          <w:sz w:val="16"/>
          <w:szCs w:val="16"/>
        </w:rPr>
        <w:t>Abstract</w:t>
      </w:r>
      <w:proofErr w:type="spellEnd"/>
      <w:r>
        <w:rPr>
          <w:color w:val="000000"/>
          <w:sz w:val="16"/>
          <w:szCs w:val="16"/>
        </w:rPr>
        <w:t xml:space="preserve"> en Base de Datos </w:t>
      </w:r>
      <w:proofErr w:type="spellStart"/>
      <w:r>
        <w:rPr>
          <w:color w:val="000000"/>
          <w:sz w:val="16"/>
          <w:szCs w:val="16"/>
        </w:rPr>
        <w:t>Medline</w:t>
      </w:r>
      <w:proofErr w:type="spellEnd"/>
      <w:r>
        <w:rPr>
          <w:color w:val="000000"/>
          <w:sz w:val="16"/>
          <w:szCs w:val="16"/>
        </w:rPr>
        <w:t xml:space="preserve"> &lt;http//www.healthgate.com/medline/adv-medline.shtml&gt;. Acceso libre. Búsqueda realizada el 29/03/00.</w:t>
      </w:r>
    </w:p>
    <w:p w:rsidR="006C5EA9" w:rsidRPr="00930281" w:rsidRDefault="00930281" w:rsidP="00930281">
      <w:pPr>
        <w:rPr>
          <w:color w:val="000000"/>
          <w:sz w:val="27"/>
          <w:szCs w:val="27"/>
        </w:rPr>
      </w:pPr>
      <w:r>
        <w:rPr>
          <w:color w:val="000000"/>
          <w:sz w:val="16"/>
          <w:szCs w:val="16"/>
        </w:rPr>
        <w:t> </w:t>
      </w:r>
      <w:bookmarkStart w:id="0" w:name="_GoBack"/>
      <w:bookmarkEnd w:id="0"/>
    </w:p>
    <w:sectPr w:rsidR="006C5EA9" w:rsidRPr="009302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1"/>
    <w:rsid w:val="000409FE"/>
    <w:rsid w:val="00042FE9"/>
    <w:rsid w:val="0028202B"/>
    <w:rsid w:val="005A7A08"/>
    <w:rsid w:val="005D6914"/>
    <w:rsid w:val="006336F5"/>
    <w:rsid w:val="00672FB9"/>
    <w:rsid w:val="007131AE"/>
    <w:rsid w:val="00930281"/>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tulo">
    <w:name w:val="Title"/>
    <w:basedOn w:val="Normal"/>
    <w:link w:val="TtuloCar"/>
    <w:uiPriority w:val="10"/>
    <w:qFormat/>
    <w:lock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TtuloCar">
    <w:name w:val="Título Car"/>
    <w:basedOn w:val="Fuentedeprrafopredeter"/>
    <w:link w:val="Ttulo"/>
    <w:uiPriority w:val="10"/>
    <w:rsid w:val="00930281"/>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930281"/>
  </w:style>
  <w:style w:type="paragraph" w:styleId="NormalWeb">
    <w:name w:val="Normal (Web)"/>
    <w:basedOn w:val="Normal"/>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930281"/>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930281"/>
    <w:rPr>
      <w:rFonts w:ascii="Times New Roman" w:eastAsia="Times New Roman" w:hAnsi="Times New Roman"/>
      <w:sz w:val="24"/>
      <w:szCs w:val="24"/>
      <w:lang w:eastAsia="es-AR"/>
    </w:rPr>
  </w:style>
  <w:style w:type="paragraph" w:styleId="Sangra3detindependiente">
    <w:name w:val="Body Text Indent 3"/>
    <w:basedOn w:val="Normal"/>
    <w:link w:val="Sangra3detindependienteCar"/>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930281"/>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93028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0281"/>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tulo">
    <w:name w:val="Title"/>
    <w:basedOn w:val="Normal"/>
    <w:link w:val="TtuloCar"/>
    <w:uiPriority w:val="10"/>
    <w:qFormat/>
    <w:lock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TtuloCar">
    <w:name w:val="Título Car"/>
    <w:basedOn w:val="Fuentedeprrafopredeter"/>
    <w:link w:val="Ttulo"/>
    <w:uiPriority w:val="10"/>
    <w:rsid w:val="00930281"/>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930281"/>
  </w:style>
  <w:style w:type="paragraph" w:styleId="NormalWeb">
    <w:name w:val="Normal (Web)"/>
    <w:basedOn w:val="Normal"/>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930281"/>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930281"/>
    <w:rPr>
      <w:rFonts w:ascii="Times New Roman" w:eastAsia="Times New Roman" w:hAnsi="Times New Roman"/>
      <w:sz w:val="24"/>
      <w:szCs w:val="24"/>
      <w:lang w:eastAsia="es-AR"/>
    </w:rPr>
  </w:style>
  <w:style w:type="paragraph" w:styleId="Sangra3detindependiente">
    <w:name w:val="Body Text Indent 3"/>
    <w:basedOn w:val="Normal"/>
    <w:link w:val="Sangra3detindependienteCar"/>
    <w:uiPriority w:val="99"/>
    <w:semiHidden/>
    <w:unhideWhenUsed/>
    <w:rsid w:val="00930281"/>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930281"/>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93028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0281"/>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7440">
      <w:bodyDiv w:val="1"/>
      <w:marLeft w:val="0"/>
      <w:marRight w:val="0"/>
      <w:marTop w:val="0"/>
      <w:marBottom w:val="0"/>
      <w:divBdr>
        <w:top w:val="none" w:sz="0" w:space="0" w:color="auto"/>
        <w:left w:val="none" w:sz="0" w:space="0" w:color="auto"/>
        <w:bottom w:val="none" w:sz="0" w:space="0" w:color="auto"/>
        <w:right w:val="none" w:sz="0" w:space="0" w:color="auto"/>
      </w:divBdr>
      <w:divsChild>
        <w:div w:id="3146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099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782729">
                  <w:marLeft w:val="0"/>
                  <w:marRight w:val="0"/>
                  <w:marTop w:val="0"/>
                  <w:marBottom w:val="0"/>
                  <w:divBdr>
                    <w:top w:val="none" w:sz="0" w:space="0" w:color="auto"/>
                    <w:left w:val="none" w:sz="0" w:space="0" w:color="auto"/>
                    <w:bottom w:val="none" w:sz="0" w:space="0" w:color="auto"/>
                    <w:right w:val="none" w:sz="0" w:space="0" w:color="auto"/>
                  </w:divBdr>
                </w:div>
                <w:div w:id="1652251126">
                  <w:marLeft w:val="0"/>
                  <w:marRight w:val="0"/>
                  <w:marTop w:val="0"/>
                  <w:marBottom w:val="0"/>
                  <w:divBdr>
                    <w:top w:val="none" w:sz="0" w:space="0" w:color="auto"/>
                    <w:left w:val="none" w:sz="0" w:space="0" w:color="auto"/>
                    <w:bottom w:val="none" w:sz="0" w:space="0" w:color="auto"/>
                    <w:right w:val="none" w:sz="0" w:space="0" w:color="auto"/>
                  </w:divBdr>
                </w:div>
                <w:div w:id="1202476774">
                  <w:marLeft w:val="0"/>
                  <w:marRight w:val="0"/>
                  <w:marTop w:val="0"/>
                  <w:marBottom w:val="0"/>
                  <w:divBdr>
                    <w:top w:val="none" w:sz="0" w:space="0" w:color="auto"/>
                    <w:left w:val="none" w:sz="0" w:space="0" w:color="auto"/>
                    <w:bottom w:val="none" w:sz="0" w:space="0" w:color="auto"/>
                    <w:right w:val="none" w:sz="0" w:space="0" w:color="auto"/>
                  </w:divBdr>
                </w:div>
                <w:div w:id="1204977284">
                  <w:marLeft w:val="0"/>
                  <w:marRight w:val="0"/>
                  <w:marTop w:val="0"/>
                  <w:marBottom w:val="0"/>
                  <w:divBdr>
                    <w:top w:val="none" w:sz="0" w:space="0" w:color="auto"/>
                    <w:left w:val="none" w:sz="0" w:space="0" w:color="auto"/>
                    <w:bottom w:val="none" w:sz="0" w:space="0" w:color="auto"/>
                    <w:right w:val="none" w:sz="0" w:space="0" w:color="auto"/>
                  </w:divBdr>
                </w:div>
                <w:div w:id="1205098802">
                  <w:marLeft w:val="0"/>
                  <w:marRight w:val="0"/>
                  <w:marTop w:val="0"/>
                  <w:marBottom w:val="0"/>
                  <w:divBdr>
                    <w:top w:val="none" w:sz="0" w:space="0" w:color="auto"/>
                    <w:left w:val="none" w:sz="0" w:space="0" w:color="auto"/>
                    <w:bottom w:val="none" w:sz="0" w:space="0" w:color="auto"/>
                    <w:right w:val="none" w:sz="0" w:space="0" w:color="auto"/>
                  </w:divBdr>
                </w:div>
                <w:div w:id="2063598575">
                  <w:marLeft w:val="0"/>
                  <w:marRight w:val="0"/>
                  <w:marTop w:val="0"/>
                  <w:marBottom w:val="0"/>
                  <w:divBdr>
                    <w:top w:val="none" w:sz="0" w:space="0" w:color="auto"/>
                    <w:left w:val="none" w:sz="0" w:space="0" w:color="auto"/>
                    <w:bottom w:val="none" w:sz="0" w:space="0" w:color="auto"/>
                    <w:right w:val="none" w:sz="0" w:space="0" w:color="auto"/>
                  </w:divBdr>
                </w:div>
                <w:div w:id="1681472185">
                  <w:marLeft w:val="0"/>
                  <w:marRight w:val="0"/>
                  <w:marTop w:val="0"/>
                  <w:marBottom w:val="0"/>
                  <w:divBdr>
                    <w:top w:val="none" w:sz="0" w:space="0" w:color="auto"/>
                    <w:left w:val="none" w:sz="0" w:space="0" w:color="auto"/>
                    <w:bottom w:val="none" w:sz="0" w:space="0" w:color="auto"/>
                    <w:right w:val="none" w:sz="0" w:space="0" w:color="auto"/>
                  </w:divBdr>
                </w:div>
                <w:div w:id="1442259954">
                  <w:marLeft w:val="0"/>
                  <w:marRight w:val="0"/>
                  <w:marTop w:val="0"/>
                  <w:marBottom w:val="0"/>
                  <w:divBdr>
                    <w:top w:val="none" w:sz="0" w:space="0" w:color="auto"/>
                    <w:left w:val="none" w:sz="0" w:space="0" w:color="auto"/>
                    <w:bottom w:val="none" w:sz="0" w:space="0" w:color="auto"/>
                    <w:right w:val="none" w:sz="0" w:space="0" w:color="auto"/>
                  </w:divBdr>
                </w:div>
                <w:div w:id="279847712">
                  <w:marLeft w:val="0"/>
                  <w:marRight w:val="0"/>
                  <w:marTop w:val="0"/>
                  <w:marBottom w:val="0"/>
                  <w:divBdr>
                    <w:top w:val="none" w:sz="0" w:space="0" w:color="auto"/>
                    <w:left w:val="none" w:sz="0" w:space="0" w:color="auto"/>
                    <w:bottom w:val="none" w:sz="0" w:space="0" w:color="auto"/>
                    <w:right w:val="none" w:sz="0" w:space="0" w:color="auto"/>
                  </w:divBdr>
                </w:div>
                <w:div w:id="321549157">
                  <w:marLeft w:val="0"/>
                  <w:marRight w:val="0"/>
                  <w:marTop w:val="0"/>
                  <w:marBottom w:val="0"/>
                  <w:divBdr>
                    <w:top w:val="none" w:sz="0" w:space="0" w:color="auto"/>
                    <w:left w:val="none" w:sz="0" w:space="0" w:color="auto"/>
                    <w:bottom w:val="none" w:sz="0" w:space="0" w:color="auto"/>
                    <w:right w:val="none" w:sz="0" w:space="0" w:color="auto"/>
                  </w:divBdr>
                </w:div>
                <w:div w:id="5961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3060">
      <w:bodyDiv w:val="1"/>
      <w:marLeft w:val="0"/>
      <w:marRight w:val="0"/>
      <w:marTop w:val="0"/>
      <w:marBottom w:val="0"/>
      <w:divBdr>
        <w:top w:val="none" w:sz="0" w:space="0" w:color="auto"/>
        <w:left w:val="none" w:sz="0" w:space="0" w:color="auto"/>
        <w:bottom w:val="none" w:sz="0" w:space="0" w:color="auto"/>
        <w:right w:val="none" w:sz="0" w:space="0" w:color="auto"/>
      </w:divBdr>
      <w:divsChild>
        <w:div w:id="1029530747">
          <w:marLeft w:val="0"/>
          <w:marRight w:val="0"/>
          <w:marTop w:val="0"/>
          <w:marBottom w:val="0"/>
          <w:divBdr>
            <w:top w:val="none" w:sz="0" w:space="0" w:color="auto"/>
            <w:left w:val="none" w:sz="0" w:space="0" w:color="auto"/>
            <w:bottom w:val="none" w:sz="0" w:space="0" w:color="auto"/>
            <w:right w:val="none" w:sz="0" w:space="0" w:color="auto"/>
          </w:divBdr>
        </w:div>
        <w:div w:id="1884754254">
          <w:marLeft w:val="0"/>
          <w:marRight w:val="0"/>
          <w:marTop w:val="0"/>
          <w:marBottom w:val="0"/>
          <w:divBdr>
            <w:top w:val="none" w:sz="0" w:space="0" w:color="auto"/>
            <w:left w:val="none" w:sz="0" w:space="0" w:color="auto"/>
            <w:bottom w:val="none" w:sz="0" w:space="0" w:color="auto"/>
            <w:right w:val="none" w:sz="0" w:space="0" w:color="auto"/>
          </w:divBdr>
        </w:div>
        <w:div w:id="1838575262">
          <w:marLeft w:val="0"/>
          <w:marRight w:val="0"/>
          <w:marTop w:val="0"/>
          <w:marBottom w:val="0"/>
          <w:divBdr>
            <w:top w:val="none" w:sz="0" w:space="0" w:color="auto"/>
            <w:left w:val="none" w:sz="0" w:space="0" w:color="auto"/>
            <w:bottom w:val="none" w:sz="0" w:space="0" w:color="auto"/>
            <w:right w:val="none" w:sz="0" w:space="0" w:color="auto"/>
          </w:divBdr>
        </w:div>
        <w:div w:id="1438406133">
          <w:marLeft w:val="0"/>
          <w:marRight w:val="0"/>
          <w:marTop w:val="0"/>
          <w:marBottom w:val="0"/>
          <w:divBdr>
            <w:top w:val="none" w:sz="0" w:space="0" w:color="auto"/>
            <w:left w:val="none" w:sz="0" w:space="0" w:color="auto"/>
            <w:bottom w:val="none" w:sz="0" w:space="0" w:color="auto"/>
            <w:right w:val="none" w:sz="0" w:space="0" w:color="auto"/>
          </w:divBdr>
        </w:div>
        <w:div w:id="954992033">
          <w:marLeft w:val="0"/>
          <w:marRight w:val="0"/>
          <w:marTop w:val="0"/>
          <w:marBottom w:val="0"/>
          <w:divBdr>
            <w:top w:val="none" w:sz="0" w:space="0" w:color="auto"/>
            <w:left w:val="none" w:sz="0" w:space="0" w:color="auto"/>
            <w:bottom w:val="none" w:sz="0" w:space="0" w:color="auto"/>
            <w:right w:val="none" w:sz="0" w:space="0" w:color="auto"/>
          </w:divBdr>
        </w:div>
        <w:div w:id="1820728617">
          <w:marLeft w:val="0"/>
          <w:marRight w:val="0"/>
          <w:marTop w:val="0"/>
          <w:marBottom w:val="0"/>
          <w:divBdr>
            <w:top w:val="none" w:sz="0" w:space="0" w:color="auto"/>
            <w:left w:val="none" w:sz="0" w:space="0" w:color="auto"/>
            <w:bottom w:val="none" w:sz="0" w:space="0" w:color="auto"/>
            <w:right w:val="none" w:sz="0" w:space="0" w:color="auto"/>
          </w:divBdr>
        </w:div>
        <w:div w:id="1076853193">
          <w:marLeft w:val="0"/>
          <w:marRight w:val="0"/>
          <w:marTop w:val="0"/>
          <w:marBottom w:val="0"/>
          <w:divBdr>
            <w:top w:val="none" w:sz="0" w:space="0" w:color="auto"/>
            <w:left w:val="none" w:sz="0" w:space="0" w:color="auto"/>
            <w:bottom w:val="none" w:sz="0" w:space="0" w:color="auto"/>
            <w:right w:val="none" w:sz="0" w:space="0" w:color="auto"/>
          </w:divBdr>
        </w:div>
        <w:div w:id="1359702154">
          <w:marLeft w:val="0"/>
          <w:marRight w:val="0"/>
          <w:marTop w:val="0"/>
          <w:marBottom w:val="0"/>
          <w:divBdr>
            <w:top w:val="none" w:sz="0" w:space="0" w:color="auto"/>
            <w:left w:val="none" w:sz="0" w:space="0" w:color="auto"/>
            <w:bottom w:val="none" w:sz="0" w:space="0" w:color="auto"/>
            <w:right w:val="none" w:sz="0" w:space="0" w:color="auto"/>
          </w:divBdr>
        </w:div>
        <w:div w:id="610207296">
          <w:marLeft w:val="0"/>
          <w:marRight w:val="0"/>
          <w:marTop w:val="0"/>
          <w:marBottom w:val="0"/>
          <w:divBdr>
            <w:top w:val="none" w:sz="0" w:space="0" w:color="auto"/>
            <w:left w:val="none" w:sz="0" w:space="0" w:color="auto"/>
            <w:bottom w:val="none" w:sz="0" w:space="0" w:color="auto"/>
            <w:right w:val="none" w:sz="0" w:space="0" w:color="auto"/>
          </w:divBdr>
        </w:div>
        <w:div w:id="158225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5662</Words>
  <Characters>31141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2016-05-11T16:44:00Z</dcterms:created>
  <dcterms:modified xsi:type="dcterms:W3CDTF">2016-05-11T16:45:00Z</dcterms:modified>
</cp:coreProperties>
</file>