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4D" w:rsidRPr="00161D4D" w:rsidRDefault="00161D4D" w:rsidP="00161D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sz w:val="20"/>
          <w:szCs w:val="20"/>
          <w:lang w:val="es-ES_tradnl" w:eastAsia="es-AR"/>
        </w:rPr>
        <w:t>BOLETÍN INFORMATIVO</w:t>
      </w:r>
      <w:r w:rsidRPr="00161D4D">
        <w:rPr>
          <w:rFonts w:ascii="Times New Roman" w:eastAsia="Times New Roman" w:hAnsi="Times New Roman" w:cs="Times New Roman"/>
          <w:sz w:val="24"/>
          <w:szCs w:val="24"/>
          <w:lang w:eastAsia="es-AR"/>
        </w:rPr>
        <w:t> Nº1:</w:t>
      </w:r>
      <w:r w:rsidRPr="00161D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AR"/>
        </w:rPr>
        <w:t>  </w:t>
      </w:r>
    </w:p>
    <w:p w:rsidR="00161D4D" w:rsidRPr="00161D4D" w:rsidRDefault="00161D4D" w:rsidP="00161D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aps/>
          <w:sz w:val="27"/>
          <w:szCs w:val="27"/>
          <w:u w:val="single"/>
          <w:lang w:eastAsia="es-AR"/>
        </w:rPr>
        <w:t>FARMACOVIGILANCIA DE CISAPRIDE</w:t>
      </w:r>
    </w:p>
    <w:p w:rsidR="00161D4D" w:rsidRPr="00161D4D" w:rsidRDefault="00161D4D" w:rsidP="00161D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sz w:val="20"/>
          <w:szCs w:val="20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sz w:val="20"/>
          <w:szCs w:val="20"/>
          <w:lang w:eastAsia="es-AR"/>
        </w:rPr>
        <w:t>DPTO DE FARMACIA - FACULTAD DE Cs. QUÍMICAS</w:t>
      </w:r>
    </w:p>
    <w:p w:rsidR="00161D4D" w:rsidRPr="00161D4D" w:rsidRDefault="00161D4D" w:rsidP="00161D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sz w:val="20"/>
          <w:szCs w:val="20"/>
          <w:lang w:eastAsia="es-AR"/>
        </w:rPr>
        <w:t>UNIVERSIDAD NACIONAL DE CÓRDOBA</w:t>
      </w:r>
    </w:p>
    <w:p w:rsidR="00161D4D" w:rsidRPr="00161D4D" w:rsidRDefault="00161D4D" w:rsidP="00161D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sz w:val="20"/>
          <w:szCs w:val="20"/>
          <w:lang w:eastAsia="es-AR"/>
        </w:rPr>
        <w:t xml:space="preserve">Correa Salde V. – Fontana D. –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sz w:val="20"/>
          <w:szCs w:val="20"/>
          <w:lang w:eastAsia="es-AR"/>
        </w:rPr>
        <w:t>Solá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sz w:val="20"/>
          <w:szCs w:val="20"/>
          <w:lang w:eastAsia="es-AR"/>
        </w:rPr>
        <w:t xml:space="preserve"> N.</w:t>
      </w:r>
    </w:p>
    <w:p w:rsidR="00161D4D" w:rsidRPr="00161D4D" w:rsidRDefault="00161D4D" w:rsidP="00161D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sz w:val="20"/>
          <w:szCs w:val="20"/>
          <w:lang w:eastAsia="es-AR"/>
        </w:rPr>
        <w:t>- Abril 2000</w:t>
      </w:r>
    </w:p>
    <w:p w:rsidR="00161D4D" w:rsidRPr="00161D4D" w:rsidRDefault="00161D4D" w:rsidP="00161D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NOMBRE GENÉRICO: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DCI: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Sinónimo: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</w:p>
    <w:p w:rsidR="00161D4D" w:rsidRPr="00161D4D" w:rsidRDefault="00161D4D" w:rsidP="00161D4D">
      <w:pPr>
        <w:shd w:val="clear" w:color="auto" w:fill="FFFFFF"/>
        <w:spacing w:line="240" w:lineRule="auto"/>
        <w:ind w:left="178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CÓDIGO ATC: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A03FA02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 w:eastAsia="es-AR"/>
        </w:rPr>
        <w:t>CLASIFICACIÓN FARMACOLÓGICA: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AR"/>
        </w:rPr>
        <w:t>potenciador colinérgico; coadyuvante del vaciado gástrico intestinal (retardado).</w:t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MX" w:eastAsia="es-AR"/>
        </w:rPr>
        <w:t>RESUMEN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MX" w:eastAsia="es-AR"/>
        </w:rPr>
        <w:t>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 xml:space="preserve"> es una droga indicada para el tratamiento de acidez nocturna severa. Su uso se restringe a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s-MX" w:eastAsia="es-AR"/>
        </w:rPr>
        <w:t xml:space="preserve">pacientes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s-MX" w:eastAsia="es-AR"/>
        </w:rPr>
        <w:t>adultos</w:t>
      </w: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con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 xml:space="preserve"> enfermedad de reflujo gastroesofágico que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s-MX" w:eastAsia="es-AR"/>
        </w:rPr>
        <w:t>no responden adecuadamente a otras terapias.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 xml:space="preserve"> se metaboliza en el hígado por la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>isoenzima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 xml:space="preserve"> CYP 3A4 del citocromo P450. Los medicamentos que inhiben esta enzima provocan una elevación importante de los niveles plasmáticos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 xml:space="preserve">. Su asociación con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 xml:space="preserve"> está oficialmente contraindicada. Asimismo conviene evitar una sobredosis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 xml:space="preserve"> (posología =&lt; 40mg/día) y ser prudente cuando se use en pacientes que presenten otros factores de riesgo de arritmias (antecedentes de trastornos cardíacos, insuficiencia renal, trastornos electrolíticos</w:t>
      </w: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 como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hipomagnesemia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hipopotasemia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>, ingesta de medicamentos asociados a trastornos del ritmo).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Se aconseja vigilancia clínica rigurosa durante el tratamiento con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En EEUU,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Janssen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Pharmaceutica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 xml:space="preserve"> In</w:t>
      </w: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c. anunció que ha decidido detener la venta de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(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Propulsid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) desde</w:t>
      </w: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 xml:space="preserve"> el 14 de julio de 2000. Se dio esta fecha para prever un tiempo </w:t>
      </w: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lastRenderedPageBreak/>
        <w:t>adecuado para que pacientes y médicos adopten tratamientos alternativos.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 xml:space="preserve">Al 31 de Diciembre de 1999, el uso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 xml:space="preserve"> ha sido asociado con 341 casos de anormalidades del ritmo cardíaco incluyendo 80 casos fatales.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 xml:space="preserve">En Argentina: a fin de asegurar el uso racional del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, la ANMAT ha dispuesto:</w:t>
      </w:r>
    </w:p>
    <w:p w:rsidR="00161D4D" w:rsidRPr="00161D4D" w:rsidRDefault="00161D4D" w:rsidP="00161D4D">
      <w:pPr>
        <w:shd w:val="clear" w:color="auto" w:fill="FFFFFF"/>
        <w:spacing w:line="240" w:lineRule="auto"/>
        <w:ind w:left="21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1)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</w:t>
      </w: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Cambiar la condición de expendio del producto a “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MX" w:eastAsia="es-AR"/>
        </w:rPr>
        <w:t>venta bajo receta archivada”</w:t>
      </w: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.</w:t>
      </w:r>
    </w:p>
    <w:p w:rsidR="00161D4D" w:rsidRPr="00161D4D" w:rsidRDefault="00161D4D" w:rsidP="00161D4D">
      <w:pPr>
        <w:shd w:val="clear" w:color="auto" w:fill="FFFFFF"/>
        <w:spacing w:line="240" w:lineRule="auto"/>
        <w:ind w:left="21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2)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</w:t>
      </w: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Ampliar la información ya existente en los prospectos en relación a los posibles efectos adversos de la droga.</w:t>
      </w:r>
    </w:p>
    <w:p w:rsidR="00161D4D" w:rsidRPr="00161D4D" w:rsidRDefault="00161D4D" w:rsidP="00161D4D">
      <w:pPr>
        <w:shd w:val="clear" w:color="auto" w:fill="FFFFFF"/>
        <w:spacing w:line="240" w:lineRule="auto"/>
        <w:ind w:left="21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3)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</w:t>
      </w: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Limitar su empleo al reflujo gastroesofágico que no responde a las terapias habituales.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Existen alternativas terapéuticas tales como: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metoclopramida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y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domperidona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Para realizar el reporte correspondiente acerca de algún caso relacionado con esta droga, se ruega comunicarse con el Sistema Nacional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Farmacovigilancia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de la ANMAT, o con cualquier efector periférico o Servicio de Farmacia próximo.</w:t>
      </w:r>
    </w:p>
    <w:p w:rsidR="00161D4D" w:rsidRPr="00161D4D" w:rsidRDefault="00161D4D" w:rsidP="00161D4D">
      <w:pPr>
        <w:shd w:val="clear" w:color="auto" w:fill="FFFFFF"/>
        <w:spacing w:line="240" w:lineRule="auto"/>
        <w:ind w:left="18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8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 w:eastAsia="es-AR"/>
        </w:rPr>
        <w:t>Centro de Información de Medicamentos (UNC):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MX" w:eastAsia="es-AR"/>
        </w:rPr>
        <w:t>TEL</w:t>
      </w:r>
      <w:r w:rsidRPr="00161D4D">
        <w:rPr>
          <w:rFonts w:ascii="Times New Roman" w:eastAsia="Times New Roman" w:hAnsi="Times New Roman" w:cs="Times New Roman"/>
          <w:color w:val="000000"/>
          <w:sz w:val="18"/>
          <w:szCs w:val="18"/>
          <w:lang w:val="es-MX" w:eastAsia="es-AR"/>
        </w:rPr>
        <w:t>: 0351-4334163;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MX" w:eastAsia="es-AR"/>
        </w:rPr>
        <w:t>FAX</w:t>
      </w:r>
      <w:r w:rsidRPr="00161D4D">
        <w:rPr>
          <w:rFonts w:ascii="Times New Roman" w:eastAsia="Times New Roman" w:hAnsi="Times New Roman" w:cs="Times New Roman"/>
          <w:color w:val="000000"/>
          <w:sz w:val="18"/>
          <w:szCs w:val="18"/>
          <w:lang w:val="es-MX" w:eastAsia="es-AR"/>
        </w:rPr>
        <w:t>: 0351-4334127;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MX" w:eastAsia="es-AR"/>
        </w:rPr>
        <w:t>E</w:t>
      </w:r>
      <w:r w:rsidRPr="00161D4D">
        <w:rPr>
          <w:rFonts w:ascii="Times New Roman" w:eastAsia="Times New Roman" w:hAnsi="Times New Roman" w:cs="Times New Roman"/>
          <w:color w:val="000000"/>
          <w:sz w:val="18"/>
          <w:szCs w:val="18"/>
          <w:lang w:val="es-MX" w:eastAsia="es-AR"/>
        </w:rPr>
        <w:t>-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MX" w:eastAsia="es-AR"/>
        </w:rPr>
        <w:t>mail</w:t>
      </w:r>
      <w:r w:rsidRPr="00161D4D">
        <w:rPr>
          <w:rFonts w:ascii="Times New Roman" w:eastAsia="Times New Roman" w:hAnsi="Times New Roman" w:cs="Times New Roman"/>
          <w:color w:val="000000"/>
          <w:sz w:val="18"/>
          <w:szCs w:val="18"/>
          <w:lang w:val="es-MX" w:eastAsia="es-AR"/>
        </w:rPr>
        <w:t>:</w:t>
      </w:r>
      <w:hyperlink r:id="rId5" w:history="1">
        <w:r w:rsidRPr="00161D4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s-ES" w:eastAsia="es-AR"/>
          </w:rPr>
          <w:t>cimecord@dqo.fcq.unc.edu.ar;</w:t>
        </w:r>
      </w:hyperlink>
      <w:r w:rsidRPr="00161D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MX" w:eastAsia="es-AR"/>
        </w:rPr>
        <w:t>INTERNET</w:t>
      </w:r>
      <w:r w:rsidRPr="00161D4D">
        <w:rPr>
          <w:rFonts w:ascii="Times New Roman" w:eastAsia="Times New Roman" w:hAnsi="Times New Roman" w:cs="Times New Roman"/>
          <w:color w:val="000000"/>
          <w:sz w:val="18"/>
          <w:szCs w:val="18"/>
          <w:lang w:val="es-MX" w:eastAsia="es-AR"/>
        </w:rPr>
        <w:t>: www.cimecord.edu.ar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s-MX" w:eastAsia="es-AR"/>
        </w:rPr>
        <w:t>ANMAT: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s-MX" w:eastAsia="es-AR"/>
        </w:rPr>
        <w:t>TELEFAX</w:t>
      </w:r>
      <w:r w:rsidRPr="00161D4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MX" w:eastAsia="es-AR"/>
        </w:rPr>
        <w:t>: </w:t>
      </w: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s-MX" w:eastAsia="es-AR"/>
        </w:rPr>
        <w:t>(011) 4340-0866</w:t>
      </w: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MX" w:eastAsia="es-AR"/>
        </w:rPr>
        <w:t>;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s-AR"/>
        </w:rPr>
        <w:t>E-mail</w:t>
      </w:r>
      <w:r w:rsidRPr="00161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AR"/>
        </w:rPr>
        <w:t>: </w:t>
      </w:r>
      <w:hyperlink r:id="rId6" w:history="1">
        <w:r w:rsidRPr="00161D4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shd w:val="clear" w:color="auto" w:fill="FFFFFF"/>
            <w:lang w:eastAsia="es-AR"/>
          </w:rPr>
          <w:t>snfvg@anmat.gov.ar</w:t>
        </w:r>
      </w:hyperlink>
    </w:p>
    <w:p w:rsidR="00161D4D" w:rsidRPr="00161D4D" w:rsidRDefault="00161D4D" w:rsidP="00161D4D">
      <w:pPr>
        <w:shd w:val="clear" w:color="auto" w:fill="FFFFFF"/>
        <w:spacing w:line="240" w:lineRule="auto"/>
        <w:ind w:left="178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MECANISMO DE ACCIÓN: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Se trata de un agente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procinético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gastrointestinal que actúa incrementando la contractilidad muscular gastrointestinal, la coordinación y motilidad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antroduodenal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la motilidad esofágica y el 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lastRenderedPageBreak/>
        <w:t xml:space="preserve">tono del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esfinter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esofágico inferior. Así mismo es capaz de regularizar la función intestinal en los pacientes con estreñimiento idiopático. Forma parte del grupo de las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ortoparamidas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actuando como agente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colinégico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indirecto, al estimular la liberación de acetilcolina a partir de las neuronas post-ganglionares en el intestino, como consecuencia de la estimulación de los receptores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serotoninérgicos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5-HT4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presinápticos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. También tiene efectos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antiserotoninérgicos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a nivel del intestino delgado y colon.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INDICACIONES TERAPÉUTICAS: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MX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es una droga prescrita para el tratamiento de acidez nocturna severa experimentada por pacientes adultos con enfermedad de reflujo gastroesofágico que no responden adecuadamente a otras terapias. Además podría ser usado en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esofagitis por reflujo gastroesofágico; esofagitis leve recidivante;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gastroparesia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(trastornos funcionales ligados a la motilidad gastrointestinal incluida la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pseudobstrucción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idiopática intestinal y diabética).</w:t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El tratamiento puede continuarse hasta 8 semanas; sin embargo, en algún momento del tratamiento puede aparecer tolerancia al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.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DOSIS: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24"/>
          <w:szCs w:val="24"/>
          <w:lang w:val="es-ES_tradnl" w:eastAsia="es-AR"/>
        </w:rPr>
        <w:t>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Adultos, oral: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*trastornos funcionales digestivos leves (dispepsia, gastritis, etc.): 5-10 mg/8hs usualmente por cuatro semanas.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*reflujo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gastroespofágico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y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gastroparesia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grave: 10 mg/8hs., y si es necesario 10 mg a la hora de acostarse, la dosis utilizada en la profilaxis de reflujo gastroesofágico puede aumentar a un máximo de 20mg dos veces al día en casos graves; la dosis en el tratamiento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gastroparesia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puede aumentarse hasta un máximo de 20mg 3 veces al día. La esofagitis también puede tratarse con 20 mg antes del 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lastRenderedPageBreak/>
        <w:t>desayuno y 20 mg al acostarse; manteniendo, 20 mg/24hs. (al acostarse) ó 10 mg/12hs. (antes del desayuno y al acostarse).</w:t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800" w:hanging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20"/>
          <w:szCs w:val="20"/>
          <w:lang w:val="es-ES_tradnl" w:eastAsia="es-AR"/>
        </w:rPr>
        <w:t>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 w:eastAsia="es-AR"/>
        </w:rPr>
        <w:t>NO SE ACONSEJA SU USO EN NIÑOS</w:t>
      </w: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. En la bibliografía consultada se encuentra la siguiente información: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es utilizado en pacientes pediátricos en casos altamente excepcionales para desórdenes de la motilidad gastrointestinal; la dosis máxima no debe exceder los 0.8mg/kg de peso por día, en 3 o 4 tomas de 0.2mg/kg, 15 minutos antes de las comidas (no excediendo los 40mg/día), no se recomienda su uso por la alta probabilidad de aparición de efectos adversos a nivel cardíaco.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CONDICIONES Y VÍA DE ADMINISTRACIÓN: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Normas de correcta administración: debe administrarse 15-30 minutos antes de las comidas, junto con alguna bebida y antes de acostarse cuando sea necesario.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Si se omite una dosis tomarla lo antes posible; no tomarla si faltara poco tiempo para la dosis siguiente.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ENVASADO Y ALMACENAMIENTO: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Mantener por debajo de 40ºC, preferiblemente entre 15-30ºC, a menos que el fabricante lo especifique de otra manera.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BIODISPONIBILIDAD Y FARMACOCINÉTICA: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lastRenderedPageBreak/>
        <w:t xml:space="preserve">La absorción es rápida y completa. La acción comienza a los 30-60 minutos de administrada. El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presenta una biodisponibilidad oral del 45% (debido a la existencia del metabolismo del primer paso), siendo ésta incrementada significativamente por los alimentos. La Concentración Máxima es de 49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ng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/ml (ayunas) y de 60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ng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/ml (con alimentos), alcanzando la Concentración Plasmática Máxima al cabo de 1 a 2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hs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. Se une en un 98% a proteínas plasmáticas, principalmente a la albúmina. Logra concentraciones elevadas en la mucosa digestiva e hígado. No difunde de forma significativa a través de las barreras meníngea y mamaria. Una pequeña cantidad es distribuida en la leche materna.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Más del 95% de la dosis administrada es metabolizada, fundamentalmente en hígado, siendo eliminada como metabolitos inactivos por orina y heces en igual proporción. La semivida de eliminación es de 7 a 10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hs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. siendo algo mayor en ancianos y en pacientes con insuficiencia hepática grave.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EFECTOS ADVERSOS Y TOXICIDAD: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SNC: frecuentemente: dolor de cabeza; raramente: temblores, síntomas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extrapiramidales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, insomnio, ansiedad y crisis convulsivas en pacientes con antecedentes de convulsiones.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Órganos de los sentidos: ocasionalmente: rinitis, sinusitis y visión borrosa.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Gastrointestinales: frecuentemente: diarrea, dolor abdominal, nausea, estreñimiento. Ocasionalmente: flatulencias, dispepsia, ruidos abdominales. En caso de diarrea intensa, especialmente en niños pequeños, puede ser preciso suspender el tratamiento.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Sistema respiratorio: en pacientes con asma severa se ha observado, posterior a la administración de 10mg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dificultad respiratoria. Otros casos de broncoespasmo se han asociado con el uso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, algunos de ellos cedieron al suspender la terapia.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Tracto urinario: algunos casos de disturbios urinarios se han asociado con el uso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(incontinencia urinaria, disminución de la frecuencia urinaria, cistitis, retención urinaria, etc.). La mayoría de los casos eran mujeres de edad avanzada.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lastRenderedPageBreak/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Alteraciones cardiovasculares: arritmias ventriculares incluyendo “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torsades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pointes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”, taquicardia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sinusal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, palpitaciones,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prolongación del intervalo QT, fibrilación ventricular e hipertensión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Está contraindicado el uso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 pacientes que reciben drogas con conocida capacidad inhibitoria del metabolismo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o que también prolonguen el intervalo QT, así como en pacientes que posean antecedentes de prolongación del intervalo QT, arritmia ventricular, u otros factores de riesgo para la producción de arritmias.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TRATAMIENTO DE LA SOBREDOSIS: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El tratamiento recomendado consta de lo siguiente: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Interrumpir la administración del medicamento.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Aplicar lavado gástrico y/o administrar carbón activado.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Instalar tratamiento de mantenimiento.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CONTRAINDICACIONES Y PRECAUCIONES: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Contraindicado en alergia a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u otras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ortopramidas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, así como en pacientes embarazadas y madres lactantes y niños, pacientes con hemorragias digestivas u obstrucción o perforación intestinal. En pacientes con insuficiencia hepática grave y en ancianos se reducirá la dosis inicial un 50%, con ajuste posterior según tolerancia.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Debe evaluarse la relación riesgo beneficio en las siguientes situaciones clínicas: epilepsias o crisis convulsivas, antecedentes de convulsiones (existen algunos informes de crisis convulsivas en 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lastRenderedPageBreak/>
        <w:t xml:space="preserve">pacientes con antecedentes de convulsiones y que toman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; sin embargo, no se ha establecido una relación causal).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Se aconseja vigilancia clínica rigurosa en situaciones que puedan prolongar el intervalo QT tales como, alteraciones del balance electrolítico (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hipomagnesemia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hipopotasemia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) o tratamientos concomitantes con fármacos que potencialmente pueden potenciar el intervalo QT. </w:t>
      </w:r>
      <w:proofErr w:type="gram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incluyendo</w:t>
      </w:r>
      <w:proofErr w:type="gram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quinina o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halofantrina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terfenadina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astemizol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ciertos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antiarrítmicos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como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amiodarona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o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quinidina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algunos antidepresivos tales como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amitriptilina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fenotiazina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antipsicótica y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sertindole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Niños: se ha utilizado en niños a partir de dos meses de edad con un perfil de efectos adversos similar al de los adultos. ESTÁ CONTRAINDICADO EL USO EN NIÑOS.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En ancianos, suele haber aumento de la semivida de eliminación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, las dosis terapéuticas son generalmente, similares a las de adultos, aunque es aconsejable iniciar el tratamiento con la mitad de la dosis, que se ajustará según tolerancia.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INTERACCIONES: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En esta monografía solamente se identifican las interacciones específicas entre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y otros medicamentos. Sin embargo, como el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produce un aumento de la motilidad gastrointestinal y una disminución del tiempo de vaciado gástrico, la absorción de los medicamentos en el estómago puede disminuir, mientras que la absorción en el intestino delgado puede aumentar.</w:t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proofErr w:type="spellStart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es metabolizado en el hígado por la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isoenzima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CYP 3A4 del citocromo P450. La administración concomitante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con drogas que inhiben el metabolismo puede aumentar la concentración plasmática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AR"/>
        </w:rPr>
        <w:t xml:space="preserve"> además de la prolongación del intervalo QT y de la producción de serias arritmias ventriculares.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Alcohol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: aumenta la velocidad de absorción.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Anticolinérgicos u otros medicamentos con actividad anticolinérgica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: el uso simultáneo puede antagonizar los efectos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sobre la motilidad gastrointestinal.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lastRenderedPageBreak/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Cimetidina o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ranitidina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: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acelera la absorción y disminuye la biodisponibilidad oral de ambas. La cimetidina aumenta la biodisponibilidad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(aumento de las concentraciones plasmáticas 45%) por posible inhibición del metabolismo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(cimetidina es un inhibidor del citocromo P450 3A4).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Antibióticos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macrólidos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 (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claritromicina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triacetiloleandomicina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 y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eritromicina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)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: potencian la toxicidad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, con presencia de arritmias ventriculares, por posible inhibición de su metabolismo hepático.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Anticoagulantes (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acenocumarol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warfarina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)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: incremento en el tiempo de protrombina con riesgo de hemorragia, por posible acumulación orgánica del anticoagulante como consecuencia de la inhibición de su metabolismo hepático.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Antifúngicos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azólicos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 (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fluconazol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itraconazol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miconazol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ketoconazol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)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: potenciación de la toxicidad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(con riesgo de arritmia) por inhibición de su metabolismo hepático con prolongación del intervalo QT.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Ciclosporina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: aumento en los niveles plasmáticos máximos y del área bajo la curva de ciclosporina, posiblemente por mayor rapidez del vaciado gástrico.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Diazepam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: mayor rapidez de absorción y aparición de la acción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diazepam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, por la mayor rapidez en el vaciado gástrico.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Disopiramida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: aumento de la absorción de la disopiramida por antagonismo de sus acciones sobre la motilidad gastrointestinal.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Delavidine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Indinavir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Nefazodone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Antimuscarínicos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 y posiblemente analgésicos opioides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: podrían antagonizar los efectos gastrointestinales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Antidepresivos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: incluyendo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fluoxetina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fluvoxamina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nefazodone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y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sertralina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por inhibición del citocromo P450 3A4 podrían interaccionar con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Quinina o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halofantrina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terfenadina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astemizol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, ciertos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antiarrítmicos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 como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amiodarona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 o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quinidina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, algunos antidepresivos tales como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amitriptilina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fenotiazina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 antipsicótica y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sertindole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: prolongan el intervalo QT.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lastRenderedPageBreak/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Naringenina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: (sustancia contenida en los cítricos) inhibe la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isoenzima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del citocromo P450 potenciando los efectos tóxicos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.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FARMACOVIGILANCIA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: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s-AR"/>
        </w:rPr>
        <w:br w:type="textWrapping" w:clear="all"/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*Siete reportes emitidos por el WHO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Programme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for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International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Drug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Monitoring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han asociado el uso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con efectos a nivel cardíaco entre 1989 y 1991. Ellos incluyen palpitaciones en cuatro, taquicardia e hipertensión en uno, y extrasístole en dos.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Otros reportes posteriores han vinculado el uso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con la prolongación del intervalo QT, fibrilación ventricular o ambos.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La FDA ha recibido 57 reportes en 1996 de los cuales cuatro han sido fatales. La mayoría de estos pacientes habían recibido otras drogas que alteran el metabolismo del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o poseían otros factores predisponentes a arritmias.</w:t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Por lo cual, está contraindicado el uso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en pacientes que reciben drogas con conocida capacidad inhibitoria del metabolismo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, o que también prolonguen el intervalo QT, así como en pacientes que posean antecedentes de prolongación del intervalo QT, arritmia ventricular, u otros factores de riesgo para la producción de arritmias.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Los niños y neonatos (especialmente en los de baja edad gestacional) son vulnerables a la prolongación del intervalo QT inducida por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, está especialmente contraindicado el uso de 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en neonatos prematuros y no existen datos suficientes en niños menores de 12 años, POR LO QUE NO SE RECOMIENDA SU USO.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*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Janssen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Pharmaceutica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In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c. anunció que ha decidido detener la venta de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Propulsid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) en EEUU desde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el 14 de julio de 2000.</w:t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AR"/>
        </w:rPr>
        <w:t xml:space="preserve">Al 31 de Diciembre de 1999, el uso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AR"/>
        </w:rPr>
        <w:t xml:space="preserve"> ha sido asociado con 341 casos de anormalidades del ritmo cardíaco incluyendo 80 casos fatales. La mayoría de estos efectos adversos ocurrieron en pacientes que estaban tomando otros medicamentos o que tenían predisposición o riesgo conocido de desarrollar arritmias cardíacas asociadas con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AR"/>
        </w:rPr>
        <w:t>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lastRenderedPageBreak/>
        <w:t xml:space="preserve">A los pacientes que están tomando actualmente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se les recomienda comunicarse lo antes posible con un centro de salud para discutir tratamientos alternativos.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Los médicos que están tratando a pacientes críticos que consideren que los beneficios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son mayores que los riesgos, son invitados a contactarse con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Janssen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. La compañía continuará poniendo a disposición la droga para pacientes que cumplen criterios clínicos específicos para protocolos de acceso limitado.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8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Desde que se aprobó la droga en 1993, el prospecto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ha sido revisado varias veces (más recientemente en enero de 2000, ver FDA TALK PAPER T00-6 www.fda.gov) para informar a los profesionales de la salud y a los pacientes sobre los riesgos del medicamento. A pesar de los esfuerzos para manejar estos riesgos la firma decidió en conjunto con la FDA que continuar con las prescripciones generales de la droga posee riesgos inaceptables.</w:t>
      </w:r>
    </w:p>
    <w:p w:rsidR="00161D4D" w:rsidRPr="00161D4D" w:rsidRDefault="00161D4D" w:rsidP="00161D4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Fecha: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 w:eastAsia="es-AR"/>
        </w:rPr>
        <w:t>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23 de Marzo de 2000</w:t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</w:t>
      </w:r>
    </w:p>
    <w:p w:rsidR="00161D4D" w:rsidRPr="00161D4D" w:rsidRDefault="00161D4D" w:rsidP="00161D4D">
      <w:pPr>
        <w:shd w:val="clear" w:color="auto" w:fill="FFFFFF"/>
        <w:spacing w:line="240" w:lineRule="auto"/>
        <w:ind w:left="172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*La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Public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Citizen's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comunica que obtuvieron información de dicha agencia de 23 muertes adicionales por arritmias cardíacas o muerte súbita, que se suman a las 80 informadas en la comunicación del 23 de marzo. Habida cuenta que el total llega ahora a 103 muertes, este grupo solicita a la agencia estadounidense que retire el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 las próximas dos semanas y deje sin efecto el plazo fijado hasta el 14 de Julio, para prevenir nuevas muertes, ya que existen numerosas alternativas más seguras que el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2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23 nuevos casos notificados entre el 1 de enero y el 28 de marzo ocurrieron en un rango de edad que va desde los 9 meses hasta los 77 años, y 13 de ellos tenían menos de 60 años.</w:t>
      </w:r>
    </w:p>
    <w:p w:rsidR="00161D4D" w:rsidRPr="00161D4D" w:rsidRDefault="00161D4D" w:rsidP="00161D4D">
      <w:pPr>
        <w:shd w:val="clear" w:color="auto" w:fill="FFFFFF"/>
        <w:spacing w:line="240" w:lineRule="auto"/>
        <w:ind w:left="172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El grupo sugiere que podría incorporarse el fármaco a la categoría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Investigational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New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Drug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Exemption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(IND). En esta categoría, los pacientes incluidos para participar del ensayo deberían: presentar un ECG, haber probado otras alternativas y no tomar ninguna de las 41 drogas contraindicadas.</w:t>
      </w:r>
    </w:p>
    <w:p w:rsidR="00161D4D" w:rsidRPr="00161D4D" w:rsidRDefault="00161D4D" w:rsidP="00161D4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Fecha: 13 de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 w:eastAsia="es-AR"/>
        </w:rPr>
        <w:t> </w:t>
      </w: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Abril de 2000</w:t>
      </w:r>
    </w:p>
    <w:p w:rsidR="00161D4D" w:rsidRPr="00161D4D" w:rsidRDefault="00161D4D" w:rsidP="00161D4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_tradnl" w:eastAsia="es-AR"/>
        </w:rPr>
        <w:t>ALTERNATIVAS TERAPÉUTICAS: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216"/>
      </w:tblGrid>
      <w:tr w:rsidR="00161D4D" w:rsidRPr="00161D4D" w:rsidTr="00161D4D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AR"/>
              </w:rPr>
              <w:t> </w:t>
            </w:r>
            <w:r w:rsidRPr="0016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AR"/>
              </w:rPr>
              <w:t>PROCINÉTICAS/ANTIEMÉTICAS</w:t>
            </w:r>
          </w:p>
        </w:tc>
        <w:tc>
          <w:tcPr>
            <w:tcW w:w="421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AR"/>
              </w:rPr>
              <w:t>SÓLO PROCINÉTICAS</w:t>
            </w:r>
          </w:p>
        </w:tc>
      </w:tr>
      <w:tr w:rsidR="00161D4D" w:rsidRPr="00161D4D" w:rsidTr="00161D4D"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Wingdings" w:eastAsia="Times New Roman" w:hAnsi="Wingdings" w:cs="Times New Roman"/>
                <w:sz w:val="24"/>
                <w:szCs w:val="24"/>
                <w:lang w:val="es-ES_tradnl" w:eastAsia="es-AR"/>
              </w:rPr>
              <w:t></w:t>
            </w:r>
            <w:r w:rsidRPr="00161D4D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AR"/>
              </w:rPr>
              <w:t>     </w:t>
            </w:r>
            <w:proofErr w:type="spellStart"/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Cleboprida</w:t>
            </w:r>
            <w:proofErr w:type="spellEnd"/>
          </w:p>
        </w:tc>
        <w:tc>
          <w:tcPr>
            <w:tcW w:w="421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Wingdings" w:eastAsia="Times New Roman" w:hAnsi="Wingdings" w:cs="Times New Roman"/>
                <w:sz w:val="24"/>
                <w:szCs w:val="24"/>
                <w:lang w:val="es-ES_tradnl" w:eastAsia="es-AR"/>
              </w:rPr>
              <w:t></w:t>
            </w:r>
            <w:r w:rsidRPr="00161D4D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AR"/>
              </w:rPr>
              <w:t>     </w:t>
            </w:r>
            <w:proofErr w:type="spellStart"/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Cinitrapida</w:t>
            </w:r>
            <w:proofErr w:type="spellEnd"/>
          </w:p>
        </w:tc>
      </w:tr>
      <w:tr w:rsidR="00161D4D" w:rsidRPr="00161D4D" w:rsidTr="00161D4D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Wingdings" w:eastAsia="Times New Roman" w:hAnsi="Wingdings" w:cs="Times New Roman"/>
                <w:sz w:val="24"/>
                <w:szCs w:val="24"/>
                <w:lang w:val="es-ES_tradnl" w:eastAsia="es-AR"/>
              </w:rPr>
              <w:t></w:t>
            </w:r>
            <w:r w:rsidRPr="00161D4D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AR"/>
              </w:rPr>
              <w:t>     </w:t>
            </w:r>
            <w:proofErr w:type="spellStart"/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Domperidona</w:t>
            </w:r>
            <w:proofErr w:type="spellEnd"/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Wingdings" w:eastAsia="Times New Roman" w:hAnsi="Wingdings" w:cs="Times New Roman"/>
                <w:sz w:val="24"/>
                <w:szCs w:val="24"/>
                <w:lang w:val="es-ES_tradnl" w:eastAsia="es-AR"/>
              </w:rPr>
              <w:t></w:t>
            </w:r>
            <w:r w:rsidRPr="00161D4D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AR"/>
              </w:rPr>
              <w:t>     </w:t>
            </w:r>
            <w:proofErr w:type="spellStart"/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Cisapride</w:t>
            </w:r>
            <w:proofErr w:type="spellEnd"/>
          </w:p>
        </w:tc>
      </w:tr>
      <w:tr w:rsidR="00161D4D" w:rsidRPr="00161D4D" w:rsidTr="00161D4D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Wingdings" w:eastAsia="Times New Roman" w:hAnsi="Wingdings" w:cs="Times New Roman"/>
                <w:sz w:val="24"/>
                <w:szCs w:val="24"/>
                <w:lang w:val="es-ES_tradnl" w:eastAsia="es-AR"/>
              </w:rPr>
              <w:t></w:t>
            </w:r>
            <w:r w:rsidRPr="00161D4D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AR"/>
              </w:rPr>
              <w:t>     </w:t>
            </w:r>
            <w:proofErr w:type="spellStart"/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Metoclopramida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:rsidR="00161D4D" w:rsidRPr="00161D4D" w:rsidRDefault="00161D4D" w:rsidP="00161D4D">
      <w:pPr>
        <w:spacing w:line="240" w:lineRule="auto"/>
        <w:ind w:left="3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 w:rsidRPr="00161D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lastRenderedPageBreak/>
        <w:t>Farmacovigilancia</w:t>
      </w:r>
      <w:proofErr w:type="spellEnd"/>
      <w:r w:rsidRPr="00161D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 de </w:t>
      </w:r>
      <w:proofErr w:type="spellStart"/>
      <w:r w:rsidRPr="00161D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cisapride</w:t>
      </w:r>
      <w:proofErr w:type="spellEnd"/>
      <w:r w:rsidRPr="00161D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 </w:t>
      </w:r>
      <w:proofErr w:type="gramStart"/>
      <w:r w:rsidRPr="00161D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( continuación</w:t>
      </w:r>
      <w:proofErr w:type="gramEnd"/>
      <w:r w:rsidRPr="00161D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 </w:t>
      </w:r>
      <w:r w:rsidRPr="00161D4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)</w:t>
      </w:r>
    </w:p>
    <w:p w:rsidR="00161D4D" w:rsidRPr="00161D4D" w:rsidRDefault="00161D4D" w:rsidP="00161D4D">
      <w:pPr>
        <w:spacing w:line="240" w:lineRule="auto"/>
        <w:ind w:left="3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La METOCLOPRAMIDA fue el primer medicamento del grupo de las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ortopramidas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es el mejor documentado y el que sirve de patrón de comparación. Tiene un grado significativo de penetración en el SNC y produce a veces reacciones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extrapiramidales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. La DOMPERIDONA, que no es una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ortopramida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en estricto sentido químico, penetra muy poco la barrera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hematorraquídea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y por lo tanto es muy rara la aparición de cuadros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distónicos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. Los otros medicamentos de su grupo están mucho menos difundidos internacionalmente y peor estudiados. No hay ninguna razón para suponer que sean mejores.</w:t>
      </w:r>
    </w:p>
    <w:p w:rsidR="00161D4D" w:rsidRPr="00161D4D" w:rsidRDefault="00161D4D" w:rsidP="00161D4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 </w:t>
      </w:r>
    </w:p>
    <w:p w:rsidR="00161D4D" w:rsidRPr="00161D4D" w:rsidRDefault="00161D4D" w:rsidP="00161D4D">
      <w:pPr>
        <w:spacing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COSTO DEL TRATAMIENTO/DÍA:</w:t>
      </w:r>
    </w:p>
    <w:p w:rsidR="00161D4D" w:rsidRPr="00161D4D" w:rsidRDefault="00161D4D" w:rsidP="00161D4D">
      <w:pPr>
        <w:spacing w:line="240" w:lineRule="auto"/>
        <w:ind w:left="3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Los costos están calculados para la Dosis Diaria Definida (DDD).</w:t>
      </w:r>
    </w:p>
    <w:p w:rsidR="00161D4D" w:rsidRPr="00161D4D" w:rsidRDefault="00161D4D" w:rsidP="00161D4D">
      <w:pPr>
        <w:spacing w:line="240" w:lineRule="auto"/>
        <w:ind w:left="3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“La DDD es la dosis considerada como media de mantenimiento por día de un medicamento utilizado en su indicación principal en adultos”, no refleja necesariamente la dosis recomendada o realmente utilizada en diferentes indicaciones terapéuticas.</w:t>
      </w:r>
    </w:p>
    <w:p w:rsidR="00161D4D" w:rsidRPr="00161D4D" w:rsidRDefault="00161D4D" w:rsidP="00161D4D">
      <w:pPr>
        <w:spacing w:line="240" w:lineRule="auto"/>
        <w:ind w:left="3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Los valores de DDD son:</w:t>
      </w:r>
    </w:p>
    <w:p w:rsidR="00161D4D" w:rsidRPr="00161D4D" w:rsidRDefault="00161D4D" w:rsidP="00161D4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Metoclopramida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: 30mg/día administrada por vía: oral, parenteral y rectal.</w:t>
      </w:r>
    </w:p>
    <w:p w:rsidR="00161D4D" w:rsidRPr="00161D4D" w:rsidRDefault="00161D4D" w:rsidP="00161D4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Symbol" w:eastAsia="Times New Roman" w:hAnsi="Symbol" w:cs="Times New Roman"/>
          <w:color w:val="000000"/>
          <w:sz w:val="24"/>
          <w:szCs w:val="24"/>
          <w:lang w:val="es-ES_tradnl" w:eastAsia="es-AR"/>
        </w:rPr>
        <w:t>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Domperidona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: 30mg/día administrada por vía: oral y parenteral.</w:t>
      </w:r>
    </w:p>
    <w:p w:rsidR="00161D4D" w:rsidRPr="00161D4D" w:rsidRDefault="00161D4D" w:rsidP="00161D4D">
      <w:pPr>
        <w:spacing w:line="240" w:lineRule="auto"/>
        <w:ind w:left="3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Se utilizaron precios vigentes en el mes de enero de 2000.</w:t>
      </w:r>
    </w:p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2138"/>
        <w:gridCol w:w="2184"/>
        <w:gridCol w:w="2138"/>
      </w:tblGrid>
      <w:tr w:rsidR="00161D4D" w:rsidRPr="00161D4D" w:rsidTr="00161D4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AR"/>
              </w:rPr>
              <w:t>METOCLOPRAMIDA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AR"/>
              </w:rPr>
              <w:t>DOMPERIDONA</w:t>
            </w:r>
          </w:p>
        </w:tc>
      </w:tr>
      <w:tr w:rsidR="00161D4D" w:rsidRPr="00161D4D" w:rsidTr="00161D4D">
        <w:trPr>
          <w:trHeight w:val="92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2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AR"/>
              </w:rPr>
              <w:t>Forma Farmacéutica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2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AR"/>
              </w:rPr>
              <w:t>Costo de la Dosis Diaria Definida (DDD) en pesos ($)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2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AR"/>
              </w:rPr>
              <w:t>Forma Farmacéutica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2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AR"/>
              </w:rPr>
              <w:t>Costo de la Dosis Diaria Definida (DDD) en pesos ($)</w:t>
            </w:r>
          </w:p>
        </w:tc>
      </w:tr>
      <w:tr w:rsidR="00161D4D" w:rsidRPr="00161D4D" w:rsidTr="00161D4D">
        <w:trPr>
          <w:trHeight w:val="9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Comprimidos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0,55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Comprimidos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1,25</w:t>
            </w:r>
          </w:p>
        </w:tc>
      </w:tr>
      <w:tr w:rsidR="00161D4D" w:rsidRPr="00161D4D" w:rsidTr="00161D4D">
        <w:trPr>
          <w:trHeight w:val="9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Gotas de uso oral (Adultos)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Gotas de uso oral (Adultos)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1,45</w:t>
            </w:r>
          </w:p>
        </w:tc>
      </w:tr>
      <w:tr w:rsidR="00161D4D" w:rsidRPr="00161D4D" w:rsidTr="00161D4D">
        <w:trPr>
          <w:trHeight w:val="9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Gotas de uso oral (Niños)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2,45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Gotas de uso oral (Niños)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-</w:t>
            </w:r>
          </w:p>
        </w:tc>
      </w:tr>
      <w:tr w:rsidR="00161D4D" w:rsidRPr="00161D4D" w:rsidTr="00161D4D">
        <w:trPr>
          <w:trHeight w:val="9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Inyectables Adultos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3,65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Inyectables Adultos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4,85</w:t>
            </w:r>
          </w:p>
        </w:tc>
      </w:tr>
      <w:tr w:rsidR="00161D4D" w:rsidRPr="00161D4D" w:rsidTr="00161D4D">
        <w:trPr>
          <w:trHeight w:val="9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Inyectables Niños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Inyectables Niños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9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AR"/>
              </w:rPr>
              <w:t>14,30</w:t>
            </w:r>
          </w:p>
        </w:tc>
      </w:tr>
    </w:tbl>
    <w:p w:rsidR="00161D4D" w:rsidRPr="00161D4D" w:rsidRDefault="00161D4D" w:rsidP="00161D4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 w:eastAsia="es-AR"/>
        </w:rPr>
        <w:br w:type="textWrapping" w:clear="all"/>
      </w:r>
    </w:p>
    <w:p w:rsidR="00161D4D" w:rsidRPr="00161D4D" w:rsidRDefault="00161D4D" w:rsidP="00161D4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AR"/>
        </w:rPr>
        <w:t>PRESENTACIONES COMERCIALES DE CISAPRIDE, METOCLOPRAMIDA Y DOMPERIDONA:</w:t>
      </w:r>
    </w:p>
    <w:p w:rsidR="00161D4D" w:rsidRPr="00161D4D" w:rsidRDefault="00161D4D" w:rsidP="00161D4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AR"/>
        </w:rPr>
        <w:lastRenderedPageBreak/>
        <w:t> </w:t>
      </w:r>
    </w:p>
    <w:p w:rsidR="00161D4D" w:rsidRPr="00161D4D" w:rsidRDefault="00161D4D" w:rsidP="00161D4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27"/>
          <w:szCs w:val="27"/>
          <w:lang w:val="es-ES_tradnl" w:eastAsia="es-AR"/>
        </w:rPr>
        <w:t>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AR"/>
        </w:rPr>
        <w:t>CISAPRIDE (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AR"/>
        </w:rPr>
        <w:t>Monodroga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AR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4324"/>
        <w:gridCol w:w="2151"/>
      </w:tblGrid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CINACOL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Cinacol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5 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30 comprimidos. 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Cinacol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10 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30 comprimidos. 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Cinacol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gotas: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30 ml.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GADOR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CISAP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Cisap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5 mg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: envase conteniendo 20 y 40 comprimidos. 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Cisap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10mg: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envases conteniendo 2, 20 y 40 comprimidos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DOMINGUEZ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s-ES_tradnl" w:eastAsia="es-AR"/>
              </w:rPr>
              <w:t>CISPRIDE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Comprimidos 5 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30 comprimidos. Comprimidos </w:t>
            </w: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10 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30 comprimidos. </w:t>
            </w: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Suspensión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: envase conteniendo 30 ml.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KLONAL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CISAPRIDE ILAB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Cisapride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Ilab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5 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envases conteniendo 30 y 60 comprimidos. 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Cisapride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Ilab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10 mg: 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envases conteniendo 30 y 60 comprimidos.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INMUNOLAB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DIGENORMOTIL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Digenormotil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5: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 envase conteniendo 20 comprimidos 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ranurados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. 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Digenormotil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10: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 envase conteniendo 20 comprimidos 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ranurados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. 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Digenormotil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gotas: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25 ml.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BALIARDA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s-ES_tradnl" w:eastAsia="es-AR"/>
              </w:rPr>
              <w:t>DIGERICON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Digericon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5mg: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30 comprimidos. 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Digericon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10mg: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 envase conteniendo 30 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comprimidos.</w:t>
            </w: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Digericon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20mg: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30 comprimidos. 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Digericon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gotas: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por 30 ml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BRISTOL M.S.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ETACRIL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Comprimidos 5 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envases conteniendo 20 y 40 comprimidos. </w:t>
            </w: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Comprimidos 10 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envases conteniendo 20 y 40 comprimidos. </w:t>
            </w: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Gotas: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25 ml.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BETA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FISIODIG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Fisiodig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5mg: 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 conteniendo 20 comprimidos. 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Fsisodig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20mg: 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 conteniendo 20 comprimidos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CASASCO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KINETIZINE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Kinetizine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5 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20 comprimidos. 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Kinitizine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10 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20 comprimidos.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CETUS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PREPULSID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Comprimidos 5 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envases conteniendo 20 y 60 comprimidos. </w:t>
            </w: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Comprimidos 10 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envases conteniendo 20 y 60 comprimidos. </w:t>
            </w: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Comprimidos 20 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20 comprimidos. </w:t>
            </w: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Suspensión oral: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frasco con pipeta dosificadora por 100 ml.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JANSSEN-CILAG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PREPULSID EFERVESCENTE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Prepulsid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efervescente 10mg: 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 conteniendo 20 comprimidos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JANSSEN-CILAG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PULSAR Comprimidos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 conteniendo 20 y 40 comprimidos.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PHOENIX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PULSAR Gotas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 conteniendo frasco gotero con 25 ml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lastRenderedPageBreak/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PHOENIX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PULSAR FORTE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Envases conteniendo 20 y 40 comprimidos.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PHOENIX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PULSAR REFLUX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Envases conteniendo 20 y 40 comprimidos.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PHOENIX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REGALISA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Regalisa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5mg: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envases conteniendo 20 y 50 comprimidos. 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Regalisa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</w:t>
            </w: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10mg: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 envases conteniendo 20 y 50 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</w:t>
            </w:r>
            <w:proofErr w:type="spellEnd"/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MICROSULES ARGENTINA</w:t>
            </w:r>
          </w:p>
        </w:tc>
      </w:tr>
      <w:tr w:rsidR="00161D4D" w:rsidRPr="00161D4D" w:rsidTr="00161D4D"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AR"/>
              </w:rPr>
              <w:t> </w:t>
            </w:r>
          </w:p>
          <w:p w:rsidR="00161D4D" w:rsidRPr="00161D4D" w:rsidRDefault="00161D4D" w:rsidP="00161D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es-AR"/>
              </w:rPr>
              <w:t>Asociaciones </w:t>
            </w:r>
            <w:r w:rsidRPr="00161D4D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AR"/>
              </w:rPr>
              <w:t>(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AR"/>
              </w:rPr>
              <w:t>Cisapride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AR"/>
              </w:rPr>
              <w:t xml:space="preserve"> + 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AR"/>
              </w:rPr>
              <w:t>Simeticona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AR"/>
              </w:rPr>
              <w:t>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DIGENORMOTIL PLUS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Envases conteniendo 20 y 40 comprimidos 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ranurados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BALIARDA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FISIODIG AG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Fisodig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AG (1 g / 20 g) / 100 ml gotas: 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 conteniendo 20 ml. </w:t>
            </w: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Fisiodig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AG 10 mg / 200 mg: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20 comprimidos.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CASACO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GASTRIL AG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Comprimidos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: envases conteniendo 20 y 40 comprimidos. </w:t>
            </w: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Gotas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: envase conteniendo 30 ml.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SINTYAL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GASTRIL ANTI GAS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 conteniendo 20 comprimidos masticables.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SINTYAL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GASTRIMET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Envases conteniendo 20 y 40 comprimidos recubiertos.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RAFFO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PULSAR PLUS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Comprimidos: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envases conteniendo con 20 y 40 comprimidos recubiertos.</w:t>
            </w:r>
          </w:p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Suspensión: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 conteniendo 30 ml.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PHOENIX</w:t>
            </w:r>
          </w:p>
        </w:tc>
      </w:tr>
      <w:tr w:rsidR="00161D4D" w:rsidRPr="00161D4D" w:rsidTr="00161D4D"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es-AR"/>
              </w:rPr>
              <w:t> </w:t>
            </w:r>
          </w:p>
          <w:p w:rsidR="00161D4D" w:rsidRPr="00161D4D" w:rsidRDefault="00161D4D" w:rsidP="00161D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es-AR"/>
              </w:rPr>
              <w:t>Asociaciones </w:t>
            </w:r>
            <w:r w:rsidRPr="00161D4D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AR"/>
              </w:rPr>
              <w:t>(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AR"/>
              </w:rPr>
              <w:t>Cisapride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AR"/>
              </w:rPr>
              <w:t xml:space="preserve"> + 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AR"/>
              </w:rPr>
              <w:t>simeticona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AR"/>
              </w:rPr>
              <w:t xml:space="preserve"> + 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AR"/>
              </w:rPr>
              <w:t>asoc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AR"/>
              </w:rPr>
              <w:t>.)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BUSPIRIDE ENZIMATICO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Buspiride</w:t>
            </w:r>
            <w:proofErr w:type="spellEnd"/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 xml:space="preserve"> Enzimático:</w:t>
            </w: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 envases conteniendo 20 y 40 comprimidos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LABINCA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GASTRIMET ENZIMATICO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Envases conteniendo 30 y 60 comprimidos.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RAFFO</w:t>
            </w:r>
          </w:p>
        </w:tc>
      </w:tr>
      <w:tr w:rsidR="00161D4D" w:rsidRPr="00161D4D" w:rsidTr="00161D4D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4D" w:rsidRPr="00161D4D" w:rsidRDefault="00161D4D" w:rsidP="00161D4D">
            <w:pPr>
              <w:spacing w:before="0" w:beforeAutospacing="0" w:after="0" w:afterAutospacing="0"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4D" w:rsidRPr="00161D4D" w:rsidRDefault="00161D4D" w:rsidP="00161D4D">
            <w:pPr>
              <w:spacing w:before="0" w:beforeAutospacing="0" w:after="0" w:afterAutospacing="0"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4D" w:rsidRPr="00161D4D" w:rsidRDefault="00161D4D" w:rsidP="00161D4D">
            <w:pPr>
              <w:spacing w:before="0" w:beforeAutospacing="0" w:after="0" w:afterAutospacing="0"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:rsidR="00161D4D" w:rsidRPr="00161D4D" w:rsidRDefault="00161D4D" w:rsidP="00161D4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AR"/>
        </w:rPr>
        <w:t> </w:t>
      </w:r>
    </w:p>
    <w:p w:rsidR="00161D4D" w:rsidRPr="00161D4D" w:rsidRDefault="00161D4D" w:rsidP="00161D4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27"/>
          <w:szCs w:val="27"/>
          <w:lang w:val="es-ES_tradnl" w:eastAsia="es-AR"/>
        </w:rPr>
        <w:t>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AR"/>
        </w:rPr>
        <w:t>METOCLOPRAMIDA (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AR"/>
        </w:rPr>
        <w:t>Monodroga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AR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6471"/>
      </w:tblGrid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CELIT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10mg 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 x 20, 10mg 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 x 500, gotas x 20ml, ampollas x 100 x 2ml.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FADA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FONDERYL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Solución x 20ml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RAYMOS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IMPERAN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 x 20, gotas x 30ml, ampollas x 3 x  2ml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HOECHST M.R.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LIZARONA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 x 10, gotas x 20ml y 40ml , gotas niños x 20ml y 40ml, ampollas x 3 x 2ml, ampollas x 6 x 2ml.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NORTHIA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METOCLOPRAMIDA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10mg Ampollas x 6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DRAWER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METOCLOPRAMIDA BIOQUIM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10mg ampollas .x 100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BIOQUIM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METOCLOPRAMIDA LARJAN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0.5% gotas x 20ml, 10mg ampollas x 100 x 2ml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VEINFAR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METOCLOPRAMIDA MARTIAN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1% ampollas x 1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KAMPEL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METOCLOPRAMIDA RICHET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10mg 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 x 20, 5% gotas adultos x 20ml, 10mg ampollas x 3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RICHET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METOCLOPRAMIDA RICHMOND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10mg ampollas x 1 x 2ml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RICHMOND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METOCLOPRAMIDA VANNIER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 x 50, gotas adultos x 20ml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VANNIER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METOC ORIENTAL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5% gotas x 20ml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ORIENTAL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MIDATENK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 x 20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BIOTENK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NOVOMIT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10mg </w:t>
            </w:r>
            <w:proofErr w:type="spell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</w:t>
            </w:r>
            <w:proofErr w:type="spell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 xml:space="preserve"> x 10, gotas adultos x 20ml, gotas niños x 20ml, 10mg ampollas x 2, 10mg ampollas x 6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KLONAL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PRIMPERIL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 conteniendo 20 ml de solución.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LACEFA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RELIVERAN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Comprimidos: envase conteniendo 20 comprimidos. Comprimidos sublinguales: envase conteniendo 10 comprimidos sublinguales. Gotas adultos (5</w:t>
            </w:r>
            <w:proofErr w:type="gram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‰ )</w:t>
            </w:r>
            <w:proofErr w:type="gram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: envases conteniendo 20 ml y 60 ml. Inyectable: envases conteniendo 3 y 6 ampollas. Inyectable 50 mg: envase conteniendo 1 ampolla. Gotas niños (2</w:t>
            </w:r>
            <w:proofErr w:type="gramStart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‰ )</w:t>
            </w:r>
            <w:proofErr w:type="gramEnd"/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: envase conteniendo 20 ml. Supositorios niños: envase conteniendo 6 supositorios.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NOVARTIS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RILAQUIN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lastRenderedPageBreak/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MICROSUL. ARG.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SINTEGRAN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Gotas adultos: envases conteniendo 10 y 20 ml. Gotas niños: envases conteniendo 10 y 20 ml.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SINTESINA</w:t>
            </w:r>
          </w:p>
        </w:tc>
      </w:tr>
    </w:tbl>
    <w:p w:rsidR="00161D4D" w:rsidRPr="00161D4D" w:rsidRDefault="00161D4D" w:rsidP="00161D4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AR"/>
        </w:rPr>
        <w:t> </w:t>
      </w:r>
      <w:r w:rsidRPr="00161D4D">
        <w:rPr>
          <w:rFonts w:ascii="Wingdings" w:eastAsia="Times New Roman" w:hAnsi="Wingdings" w:cs="Times New Roman"/>
          <w:color w:val="000000"/>
          <w:sz w:val="27"/>
          <w:szCs w:val="27"/>
          <w:lang w:val="es-ES_tradnl" w:eastAsia="es-AR"/>
        </w:rPr>
        <w:t>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</w:t>
      </w:r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AR"/>
        </w:rPr>
        <w:t>DOMPERIDONA (</w:t>
      </w:r>
      <w:proofErr w:type="spellStart"/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AR"/>
        </w:rPr>
        <w:t>Monodroga</w:t>
      </w:r>
      <w:proofErr w:type="spellEnd"/>
      <w:r w:rsidRPr="0016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AR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6469"/>
      </w:tblGrid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ECUAMON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Comprimidos: envase con 20 comprimidos recubiertos. Gotas: envase con 20 ml.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LAZAR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EUCITON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Comprimidos: envases conteniendo 20 y 50. Gotas: envase conteniendo 20 ml. Inyectable adulto e inyectable pediátrico: envase conteniendo 3 ampollas de 3 ml.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ROUX OCEFA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MOPERIDONA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 con 30 comprimidos. Frasco gotero con 20 ml. Envase con 5 ampollas de 2 ml.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SIDUS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MOTILIUM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Envase conteniendo 20 comprimidos.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JANSSEN-CILAG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NOMBRE COMERCIAL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VOYOU</w:t>
            </w:r>
          </w:p>
        </w:tc>
      </w:tr>
      <w:tr w:rsidR="00161D4D" w:rsidRPr="00161D4D" w:rsidTr="00161D4D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PRESENTACIÓN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Comprimidos: envase conteniendo 30 comprimidos recubiertos. Gotas: envases conteniendo 10 ml.</w:t>
            </w:r>
          </w:p>
        </w:tc>
      </w:tr>
      <w:tr w:rsidR="00161D4D" w:rsidRPr="00161D4D" w:rsidTr="00161D4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s-ES_tradnl" w:eastAsia="es-AR"/>
              </w:rPr>
              <w:t>LABORATORIO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D4D" w:rsidRPr="00161D4D" w:rsidRDefault="00161D4D" w:rsidP="00161D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61D4D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AR"/>
              </w:rPr>
              <w:t>LANDO</w:t>
            </w:r>
          </w:p>
        </w:tc>
      </w:tr>
    </w:tbl>
    <w:p w:rsidR="00161D4D" w:rsidRPr="00161D4D" w:rsidRDefault="00161D4D" w:rsidP="00161D4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BIBLIOGRAFÍA:</w:t>
      </w:r>
    </w:p>
    <w:p w:rsidR="00161D4D" w:rsidRPr="00161D4D" w:rsidRDefault="00161D4D" w:rsidP="00161D4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 </w:t>
      </w: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Catálogo de Especialidades Farmacéuticas 99. Consejo General de Colegios Oficiales de Farmacéuticos. Madrid. España.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Información de Medicamentos para el Profesional Sanitario. USP-DI. 2da Edición Española. 1995.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British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National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Formulary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. British Medical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Association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. Royal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Pharmaceutical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Society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of Great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Britain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. 1998.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The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Complete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Drug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Reference.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Martindale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. 32th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Edition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. 1999.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MX" w:eastAsia="es-AR"/>
        </w:rPr>
        <w:t>FDA TALK PAPER T00-6 </w:t>
      </w:r>
      <w:hyperlink r:id="rId7" w:history="1">
        <w:r w:rsidRPr="00161D4D">
          <w:rPr>
            <w:rFonts w:ascii="Times New Roman" w:eastAsia="Times New Roman" w:hAnsi="Times New Roman" w:cs="Times New Roman"/>
            <w:sz w:val="16"/>
            <w:szCs w:val="16"/>
            <w:u w:val="single"/>
            <w:lang w:val="es-ES" w:eastAsia="es-AR"/>
          </w:rPr>
          <w:t>www.fda.gov</w:t>
        </w:r>
      </w:hyperlink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MX" w:eastAsia="es-AR"/>
        </w:rPr>
        <w:t>FDA TALK PAPER T00-14 </w:t>
      </w:r>
      <w:hyperlink r:id="rId8" w:history="1">
        <w:r w:rsidRPr="00161D4D">
          <w:rPr>
            <w:rFonts w:ascii="Times New Roman" w:eastAsia="Times New Roman" w:hAnsi="Times New Roman" w:cs="Times New Roman"/>
            <w:sz w:val="16"/>
            <w:szCs w:val="16"/>
            <w:u w:val="single"/>
            <w:lang w:val="es-ES" w:eastAsia="es-AR"/>
          </w:rPr>
          <w:t>www.fda.gov</w:t>
        </w:r>
      </w:hyperlink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MX" w:eastAsia="es-AR"/>
        </w:rPr>
        <w:t>e-drug@usa.healthnet.org.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 Wolfe S M et al</w:t>
      </w:r>
      <w:proofErr w:type="gram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.(</w:t>
      </w:r>
      <w:proofErr w:type="spellStart"/>
      <w:proofErr w:type="gram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Public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Citizen's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Health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Research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Group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) e-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drug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-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digest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Manual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Farmacoterapéutico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de Alfa Beta ediciones.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Vademecum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de Especialidades Medicinales. Tercera Edición. Enero 1999. CD-ROOM.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PR.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Vademecum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. 1999. CD-ROOM.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Pharma-Digest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España: Fichas: 374, 1549 y 1901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Drug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Information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. American Hospital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Formulary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Service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. 1997.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Manual Farmacéutico. Nº 476. Enero 2000.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Anatomical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Therapeutic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Chemical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(ATC)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Classification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Index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Defined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Daily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Doses (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DDDs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).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>January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AR"/>
        </w:rPr>
        <w:t xml:space="preserve"> 1997.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lastRenderedPageBreak/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Tonini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M; De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Ponti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F; Di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Nucci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A; Crema F.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Review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article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: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cardiac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adverse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effects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of gastrointestinal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prokinetics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".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Aliment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Pharmacol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Ther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1999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Dec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13:12, 1585-91.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30/03/00).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Barone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JA.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Domperidone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: a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peripherally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acting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dopamine2-receptor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antagonist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". Ann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Pharmacother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1999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Apr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33:4, 429-40.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30/03/00).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Evans JS;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Huffman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S.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Update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medications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used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to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treat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gastrointestinal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disease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in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children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".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Curr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Opin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Pediatr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1999 Oct, 11:5, 396-401.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30/03/00).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Kneepkens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CM;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Hoekstra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JH;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Vandenplas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Y.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treatment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for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children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with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gastro-esophageal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reflux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".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Ned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Tijdschr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Geneeskd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1999 Oct, 143:42, 2091-4.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30/03/00).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Vandenplas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Y; Belli DC;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Benatar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Cadranel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S;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Cucchiara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S; Dupont C;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Gottrand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F;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Hassall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Heymans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HS;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Kearns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G;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Kneepkens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CM;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Koletzko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S; Milla P; Polanco I;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Staiano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AM.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The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role of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in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the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treatment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of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pediatric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gastroesophageal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reflux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The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European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Society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of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Paediatric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Gastroenterology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Hepatology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and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Nutrition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". J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Pediatr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Gastroenterol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Nutr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1999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May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28:5, 518-28.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30/03/00).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Koch KL.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Diabetic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gastropathy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: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gastric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neuromuscular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dysfunction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in diabetes mellitus: a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review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of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symptoms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pathophysiology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and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treatment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".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Dig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Dis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Sci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1999 Jun, 44:6, 1061-75.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30/03/00).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Dresser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GK;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Spence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JD; Bailey DG.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Pharmacokinetic-pharmacodynamic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consequences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and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clinical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relevance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of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cytochrome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P450 3A4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inhibition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".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Clin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Pharmacokinet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2000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Jan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38:1, 41-57.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30/03/00).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Folwaczny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C;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Riepl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R;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Tschöp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M;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Landgraf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R. "Gastrointestinal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involvement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in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patients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with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diabetes mellitus: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Part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II (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second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of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two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parts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).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Diagnostic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procedures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pharmacological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and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nonpharmacological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therapy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". Z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Gastroenterol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1999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Sep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37:9, 817-26.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30/03/00).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Valdes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L;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Champel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V; Olivier C;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Jonville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Bera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AP;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Autret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Syncope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with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long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QT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interval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in a 39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day-old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infant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treated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with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".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Arch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Pediatr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1997 Jun, 4:6, 535-7.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29/03/00).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Walker AM;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Szneke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P;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Weatherby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LB;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Dicker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LW; Lanza LL;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Loughlin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JE;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Yee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CL;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Dreyer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NA.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The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risk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of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serious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cardiac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arrhythmias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among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users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in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the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United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Kingdom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and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Canada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". Am J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1999 Oct, 107:4, 356-62.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29/03/00).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Hill SL; Evangelista JK;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Pizzi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AM;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Mobassaleh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M;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Fulton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DR;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Berul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CI.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Proarrhythmia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associated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with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in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children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".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Pediatrics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1998 Jun, 101:6, 1053-6.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29/03/00).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Brunner H.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Factors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affecting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dose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selection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and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outcome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of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treatment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for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dyspepsia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in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primary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care.The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Austro-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Cis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Study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Group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."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Aliment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Pharmacol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Ther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1996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Aug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10:4, 587-94.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29/03/00).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Bosheva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M;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Ivancheva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D;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Genkova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N;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Lutzkanova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Z;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Klinkanova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M.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Gastroesophageal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reflux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in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children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with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cystic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fibrosis." Folia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(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Plovdiv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), 1998, 40:3B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Suppl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3, 124-6.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29/03/00).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Khongphatthanayothin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Lane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J; Thomas D; Yen L; Chang D;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Bubolz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B.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Effects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of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QT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interval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in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children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." J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Pediatr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1998 Jul, 133:1, 51-6.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29/03/00).</w:t>
      </w:r>
    </w:p>
    <w:p w:rsidR="00161D4D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May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B;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Greving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I.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Pharmacologic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and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clinical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differentiation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of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prokinetic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drugs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."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Leber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Magen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Darm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, 1996 Jul, 26:4, 193-8.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29/03/00).</w:t>
      </w:r>
    </w:p>
    <w:p w:rsidR="006C5EA9" w:rsidRPr="00161D4D" w:rsidRDefault="00161D4D" w:rsidP="00161D4D">
      <w:p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61D4D">
        <w:rPr>
          <w:rFonts w:ascii="Wingdings" w:eastAsia="Times New Roman" w:hAnsi="Wingdings" w:cs="Times New Roman"/>
          <w:color w:val="000000"/>
          <w:sz w:val="16"/>
          <w:szCs w:val="16"/>
          <w:lang w:val="es-ES_tradnl" w:eastAsia="es-AR"/>
        </w:rPr>
        <w:t></w:t>
      </w:r>
      <w:r w:rsidRPr="00161D4D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AR"/>
        </w:rPr>
        <w:t>             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Bernardini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S;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Semama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DS;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Huet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F;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Sgro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C;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Gouyon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JB. "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Effects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of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cisapride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on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QTc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interval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in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neonates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."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Arch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Dis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Child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Fetal Neonatal Ed, 1997 Nov, 77:3, F241-3.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Abstract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en Base de Datos </w:t>
      </w:r>
      <w:proofErr w:type="spellStart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>Medline</w:t>
      </w:r>
      <w:proofErr w:type="spellEnd"/>
      <w:r w:rsidRPr="00161D4D">
        <w:rPr>
          <w:rFonts w:ascii="Times New Roman" w:eastAsia="Times New Roman" w:hAnsi="Times New Roman" w:cs="Times New Roman"/>
          <w:color w:val="000000"/>
          <w:sz w:val="16"/>
          <w:szCs w:val="16"/>
          <w:lang w:eastAsia="es-AR"/>
        </w:rPr>
        <w:t xml:space="preserve"> &lt;http//www.healthgate.com/medline/adv-medline.shtml&gt;. Acceso libre. (Consulta: 29/03/00).</w:t>
      </w:r>
      <w:bookmarkStart w:id="0" w:name="_GoBack"/>
      <w:bookmarkEnd w:id="0"/>
    </w:p>
    <w:sectPr w:rsidR="006C5EA9" w:rsidRPr="00161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4D"/>
    <w:rsid w:val="000409FE"/>
    <w:rsid w:val="00042FE9"/>
    <w:rsid w:val="00161D4D"/>
    <w:rsid w:val="0028202B"/>
    <w:rsid w:val="005A7A08"/>
    <w:rsid w:val="005D6914"/>
    <w:rsid w:val="006336F5"/>
    <w:rsid w:val="00672FB9"/>
    <w:rsid w:val="007131AE"/>
    <w:rsid w:val="00A21C79"/>
    <w:rsid w:val="00A67FFC"/>
    <w:rsid w:val="00E85E78"/>
    <w:rsid w:val="00EF5B27"/>
    <w:rsid w:val="00F038A4"/>
    <w:rsid w:val="00F7228C"/>
    <w:rsid w:val="00FA3F55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AE"/>
    <w:rPr>
      <w:rFonts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E85E78"/>
    <w:pPr>
      <w:jc w:val="center"/>
      <w:outlineLvl w:val="0"/>
    </w:pPr>
    <w:rPr>
      <w:rFonts w:ascii="Arial" w:hAnsi="Arial" w:cs="Arial"/>
      <w:b/>
      <w:sz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E85E78"/>
    <w:pPr>
      <w:keepNext/>
      <w:keepLines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E85E78"/>
    <w:pPr>
      <w:keepNext/>
      <w:keepLines/>
      <w:spacing w:before="200" w:after="0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Ttulo5"/>
    <w:next w:val="Normal"/>
    <w:link w:val="Ttulo4Car"/>
    <w:uiPriority w:val="99"/>
    <w:qFormat/>
    <w:rsid w:val="00E85E78"/>
    <w:pPr>
      <w:spacing w:before="100" w:after="100"/>
      <w:outlineLvl w:val="3"/>
    </w:pPr>
    <w:rPr>
      <w:rFonts w:ascii="Arial" w:hAnsi="Arial" w:cs="Arial"/>
      <w:b w:val="0"/>
      <w:bCs w:val="0"/>
    </w:rPr>
  </w:style>
  <w:style w:type="paragraph" w:styleId="Ttulo5">
    <w:name w:val="heading 5"/>
    <w:basedOn w:val="Normal"/>
    <w:next w:val="Normal"/>
    <w:link w:val="Ttulo5Car"/>
    <w:uiPriority w:val="99"/>
    <w:qFormat/>
    <w:rsid w:val="00E85E78"/>
    <w:pPr>
      <w:keepNext/>
      <w:keepLines/>
      <w:spacing w:before="200" w:after="0"/>
      <w:outlineLvl w:val="4"/>
    </w:pPr>
    <w:rPr>
      <w:rFonts w:ascii="Cambria" w:hAnsi="Cambria" w:cs="Cambria"/>
      <w:b/>
      <w:bCs/>
    </w:rPr>
  </w:style>
  <w:style w:type="paragraph" w:styleId="Ttulo6">
    <w:name w:val="heading 6"/>
    <w:basedOn w:val="Ttulo5"/>
    <w:next w:val="Normal"/>
    <w:link w:val="Ttulo6Car"/>
    <w:semiHidden/>
    <w:unhideWhenUsed/>
    <w:qFormat/>
    <w:locked/>
    <w:rsid w:val="00F038A4"/>
    <w:pPr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F038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5E78"/>
    <w:rPr>
      <w:rFonts w:ascii="Arial" w:hAnsi="Arial" w:cs="Arial"/>
      <w:b/>
      <w:sz w:val="40"/>
    </w:rPr>
  </w:style>
  <w:style w:type="character" w:customStyle="1" w:styleId="Ttulo2Car">
    <w:name w:val="Título 2 Car"/>
    <w:basedOn w:val="Fuentedeprrafopredeter"/>
    <w:link w:val="Ttulo2"/>
    <w:uiPriority w:val="99"/>
    <w:rsid w:val="00E85E78"/>
    <w:rPr>
      <w:rFonts w:ascii="Arial" w:hAnsi="Arial" w:cs="Arial"/>
      <w:b/>
      <w:bCs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E85E78"/>
    <w:rPr>
      <w:rFonts w:ascii="Arial" w:hAnsi="Arial" w:cs="Arial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9"/>
    <w:rsid w:val="00E85E78"/>
    <w:rPr>
      <w:rFonts w:ascii="Arial" w:hAnsi="Arial" w:cs="Arial"/>
      <w:b/>
      <w:bCs/>
    </w:rPr>
  </w:style>
  <w:style w:type="character" w:customStyle="1" w:styleId="Ttulo5Car">
    <w:name w:val="Título 5 Car"/>
    <w:basedOn w:val="Fuentedeprrafopredeter"/>
    <w:link w:val="Ttulo5"/>
    <w:uiPriority w:val="99"/>
    <w:rsid w:val="00E85E78"/>
    <w:rPr>
      <w:rFonts w:ascii="Cambria" w:hAnsi="Cambria" w:cs="Cambria"/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F038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F03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DC1">
    <w:name w:val="toc 1"/>
    <w:basedOn w:val="Normal"/>
    <w:next w:val="Normal"/>
    <w:autoRedefine/>
    <w:uiPriority w:val="39"/>
    <w:unhideWhenUsed/>
    <w:rsid w:val="00F038A4"/>
    <w:pPr>
      <w:tabs>
        <w:tab w:val="right" w:leader="dot" w:pos="882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F038A4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038A4"/>
    <w:pPr>
      <w:ind w:left="440"/>
    </w:pPr>
  </w:style>
  <w:style w:type="paragraph" w:styleId="Epgrafe">
    <w:name w:val="caption"/>
    <w:basedOn w:val="Normal"/>
    <w:next w:val="Normal"/>
    <w:uiPriority w:val="35"/>
    <w:qFormat/>
    <w:rsid w:val="00E85E78"/>
    <w:pPr>
      <w:spacing w:line="240" w:lineRule="auto"/>
    </w:pPr>
    <w:rPr>
      <w:b/>
      <w:bCs/>
      <w:color w:val="4F81BD"/>
      <w:sz w:val="18"/>
      <w:szCs w:val="18"/>
    </w:rPr>
  </w:style>
  <w:style w:type="paragraph" w:styleId="Subttulo">
    <w:name w:val="Subtitle"/>
    <w:basedOn w:val="Ttulo4"/>
    <w:next w:val="Normal"/>
    <w:link w:val="SubttuloCar"/>
    <w:uiPriority w:val="99"/>
    <w:qFormat/>
    <w:locked/>
    <w:rsid w:val="00E85E78"/>
    <w:pPr>
      <w:keepNext w:val="0"/>
      <w:keepLines w:val="0"/>
      <w:spacing w:before="0" w:after="200"/>
    </w:pPr>
    <w:rPr>
      <w:rFonts w:ascii="Calibri" w:hAnsi="Calibri" w:cs="Calibri"/>
      <w:b/>
      <w:bCs/>
      <w:sz w:val="24"/>
      <w:szCs w:val="24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E85E78"/>
    <w:rPr>
      <w:rFonts w:cs="Calibri"/>
      <w:b/>
      <w:bCs/>
      <w:sz w:val="24"/>
      <w:szCs w:val="24"/>
      <w:u w:val="single"/>
      <w:lang w:eastAsia="es-ES"/>
    </w:rPr>
  </w:style>
  <w:style w:type="character" w:styleId="nfasis">
    <w:name w:val="Emphasis"/>
    <w:basedOn w:val="Fuentedeprrafopredeter"/>
    <w:qFormat/>
    <w:locked/>
    <w:rsid w:val="00FD5512"/>
    <w:rPr>
      <w:i/>
      <w:iCs/>
    </w:rPr>
  </w:style>
  <w:style w:type="paragraph" w:styleId="Sinespaciado">
    <w:name w:val="No Spacing"/>
    <w:link w:val="SinespaciadoCar"/>
    <w:uiPriority w:val="99"/>
    <w:qFormat/>
    <w:rsid w:val="00E85E78"/>
    <w:rPr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E85E78"/>
    <w:rPr>
      <w:lang w:eastAsia="es-AR"/>
    </w:rPr>
  </w:style>
  <w:style w:type="paragraph" w:styleId="Prrafodelista">
    <w:name w:val="List Paragraph"/>
    <w:basedOn w:val="Normal"/>
    <w:uiPriority w:val="99"/>
    <w:qFormat/>
    <w:rsid w:val="00E85E78"/>
    <w:pPr>
      <w:ind w:left="72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038A4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link w:val="TtuloCar"/>
    <w:uiPriority w:val="10"/>
    <w:qFormat/>
    <w:locked/>
    <w:rsid w:val="00161D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161D4D"/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161D4D"/>
  </w:style>
  <w:style w:type="paragraph" w:styleId="NormalWeb">
    <w:name w:val="Normal (Web)"/>
    <w:basedOn w:val="Normal"/>
    <w:uiPriority w:val="99"/>
    <w:semiHidden/>
    <w:unhideWhenUsed/>
    <w:rsid w:val="00161D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61D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61D4D"/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61D4D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61D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61D4D"/>
    <w:rPr>
      <w:rFonts w:ascii="Times New Roman" w:eastAsia="Times New Roman" w:hAnsi="Times New Roman"/>
      <w:sz w:val="24"/>
      <w:szCs w:val="24"/>
      <w:lang w:eastAsia="es-A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61D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61D4D"/>
    <w:rPr>
      <w:rFonts w:ascii="Times New Roman" w:eastAsia="Times New Roman" w:hAnsi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1D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1D4D"/>
    <w:rPr>
      <w:rFonts w:ascii="Times New Roman" w:eastAsia="Times New Roman" w:hAnsi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D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AE"/>
    <w:rPr>
      <w:rFonts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E85E78"/>
    <w:pPr>
      <w:jc w:val="center"/>
      <w:outlineLvl w:val="0"/>
    </w:pPr>
    <w:rPr>
      <w:rFonts w:ascii="Arial" w:hAnsi="Arial" w:cs="Arial"/>
      <w:b/>
      <w:sz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E85E78"/>
    <w:pPr>
      <w:keepNext/>
      <w:keepLines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E85E78"/>
    <w:pPr>
      <w:keepNext/>
      <w:keepLines/>
      <w:spacing w:before="200" w:after="0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Ttulo5"/>
    <w:next w:val="Normal"/>
    <w:link w:val="Ttulo4Car"/>
    <w:uiPriority w:val="99"/>
    <w:qFormat/>
    <w:rsid w:val="00E85E78"/>
    <w:pPr>
      <w:spacing w:before="100" w:after="100"/>
      <w:outlineLvl w:val="3"/>
    </w:pPr>
    <w:rPr>
      <w:rFonts w:ascii="Arial" w:hAnsi="Arial" w:cs="Arial"/>
      <w:b w:val="0"/>
      <w:bCs w:val="0"/>
    </w:rPr>
  </w:style>
  <w:style w:type="paragraph" w:styleId="Ttulo5">
    <w:name w:val="heading 5"/>
    <w:basedOn w:val="Normal"/>
    <w:next w:val="Normal"/>
    <w:link w:val="Ttulo5Car"/>
    <w:uiPriority w:val="99"/>
    <w:qFormat/>
    <w:rsid w:val="00E85E78"/>
    <w:pPr>
      <w:keepNext/>
      <w:keepLines/>
      <w:spacing w:before="200" w:after="0"/>
      <w:outlineLvl w:val="4"/>
    </w:pPr>
    <w:rPr>
      <w:rFonts w:ascii="Cambria" w:hAnsi="Cambria" w:cs="Cambria"/>
      <w:b/>
      <w:bCs/>
    </w:rPr>
  </w:style>
  <w:style w:type="paragraph" w:styleId="Ttulo6">
    <w:name w:val="heading 6"/>
    <w:basedOn w:val="Ttulo5"/>
    <w:next w:val="Normal"/>
    <w:link w:val="Ttulo6Car"/>
    <w:semiHidden/>
    <w:unhideWhenUsed/>
    <w:qFormat/>
    <w:locked/>
    <w:rsid w:val="00F038A4"/>
    <w:pPr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F038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5E78"/>
    <w:rPr>
      <w:rFonts w:ascii="Arial" w:hAnsi="Arial" w:cs="Arial"/>
      <w:b/>
      <w:sz w:val="40"/>
    </w:rPr>
  </w:style>
  <w:style w:type="character" w:customStyle="1" w:styleId="Ttulo2Car">
    <w:name w:val="Título 2 Car"/>
    <w:basedOn w:val="Fuentedeprrafopredeter"/>
    <w:link w:val="Ttulo2"/>
    <w:uiPriority w:val="99"/>
    <w:rsid w:val="00E85E78"/>
    <w:rPr>
      <w:rFonts w:ascii="Arial" w:hAnsi="Arial" w:cs="Arial"/>
      <w:b/>
      <w:bCs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E85E78"/>
    <w:rPr>
      <w:rFonts w:ascii="Arial" w:hAnsi="Arial" w:cs="Arial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9"/>
    <w:rsid w:val="00E85E78"/>
    <w:rPr>
      <w:rFonts w:ascii="Arial" w:hAnsi="Arial" w:cs="Arial"/>
      <w:b/>
      <w:bCs/>
    </w:rPr>
  </w:style>
  <w:style w:type="character" w:customStyle="1" w:styleId="Ttulo5Car">
    <w:name w:val="Título 5 Car"/>
    <w:basedOn w:val="Fuentedeprrafopredeter"/>
    <w:link w:val="Ttulo5"/>
    <w:uiPriority w:val="99"/>
    <w:rsid w:val="00E85E78"/>
    <w:rPr>
      <w:rFonts w:ascii="Cambria" w:hAnsi="Cambria" w:cs="Cambria"/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F038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F03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DC1">
    <w:name w:val="toc 1"/>
    <w:basedOn w:val="Normal"/>
    <w:next w:val="Normal"/>
    <w:autoRedefine/>
    <w:uiPriority w:val="39"/>
    <w:unhideWhenUsed/>
    <w:rsid w:val="00F038A4"/>
    <w:pPr>
      <w:tabs>
        <w:tab w:val="right" w:leader="dot" w:pos="882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F038A4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038A4"/>
    <w:pPr>
      <w:ind w:left="440"/>
    </w:pPr>
  </w:style>
  <w:style w:type="paragraph" w:styleId="Epgrafe">
    <w:name w:val="caption"/>
    <w:basedOn w:val="Normal"/>
    <w:next w:val="Normal"/>
    <w:uiPriority w:val="35"/>
    <w:qFormat/>
    <w:rsid w:val="00E85E78"/>
    <w:pPr>
      <w:spacing w:line="240" w:lineRule="auto"/>
    </w:pPr>
    <w:rPr>
      <w:b/>
      <w:bCs/>
      <w:color w:val="4F81BD"/>
      <w:sz w:val="18"/>
      <w:szCs w:val="18"/>
    </w:rPr>
  </w:style>
  <w:style w:type="paragraph" w:styleId="Subttulo">
    <w:name w:val="Subtitle"/>
    <w:basedOn w:val="Ttulo4"/>
    <w:next w:val="Normal"/>
    <w:link w:val="SubttuloCar"/>
    <w:uiPriority w:val="99"/>
    <w:qFormat/>
    <w:locked/>
    <w:rsid w:val="00E85E78"/>
    <w:pPr>
      <w:keepNext w:val="0"/>
      <w:keepLines w:val="0"/>
      <w:spacing w:before="0" w:after="200"/>
    </w:pPr>
    <w:rPr>
      <w:rFonts w:ascii="Calibri" w:hAnsi="Calibri" w:cs="Calibri"/>
      <w:b/>
      <w:bCs/>
      <w:sz w:val="24"/>
      <w:szCs w:val="24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E85E78"/>
    <w:rPr>
      <w:rFonts w:cs="Calibri"/>
      <w:b/>
      <w:bCs/>
      <w:sz w:val="24"/>
      <w:szCs w:val="24"/>
      <w:u w:val="single"/>
      <w:lang w:eastAsia="es-ES"/>
    </w:rPr>
  </w:style>
  <w:style w:type="character" w:styleId="nfasis">
    <w:name w:val="Emphasis"/>
    <w:basedOn w:val="Fuentedeprrafopredeter"/>
    <w:qFormat/>
    <w:locked/>
    <w:rsid w:val="00FD5512"/>
    <w:rPr>
      <w:i/>
      <w:iCs/>
    </w:rPr>
  </w:style>
  <w:style w:type="paragraph" w:styleId="Sinespaciado">
    <w:name w:val="No Spacing"/>
    <w:link w:val="SinespaciadoCar"/>
    <w:uiPriority w:val="99"/>
    <w:qFormat/>
    <w:rsid w:val="00E85E78"/>
    <w:rPr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E85E78"/>
    <w:rPr>
      <w:lang w:eastAsia="es-AR"/>
    </w:rPr>
  </w:style>
  <w:style w:type="paragraph" w:styleId="Prrafodelista">
    <w:name w:val="List Paragraph"/>
    <w:basedOn w:val="Normal"/>
    <w:uiPriority w:val="99"/>
    <w:qFormat/>
    <w:rsid w:val="00E85E78"/>
    <w:pPr>
      <w:ind w:left="72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038A4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link w:val="TtuloCar"/>
    <w:uiPriority w:val="10"/>
    <w:qFormat/>
    <w:locked/>
    <w:rsid w:val="00161D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161D4D"/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161D4D"/>
  </w:style>
  <w:style w:type="paragraph" w:styleId="NormalWeb">
    <w:name w:val="Normal (Web)"/>
    <w:basedOn w:val="Normal"/>
    <w:uiPriority w:val="99"/>
    <w:semiHidden/>
    <w:unhideWhenUsed/>
    <w:rsid w:val="00161D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61D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61D4D"/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61D4D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61D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61D4D"/>
    <w:rPr>
      <w:rFonts w:ascii="Times New Roman" w:eastAsia="Times New Roman" w:hAnsi="Times New Roman"/>
      <w:sz w:val="24"/>
      <w:szCs w:val="24"/>
      <w:lang w:eastAsia="es-A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61D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61D4D"/>
    <w:rPr>
      <w:rFonts w:ascii="Times New Roman" w:eastAsia="Times New Roman" w:hAnsi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1D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1D4D"/>
    <w:rPr>
      <w:rFonts w:ascii="Times New Roman" w:eastAsia="Times New Roman" w:hAnsi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D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da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fvg@anmat.gov.ar" TargetMode="External"/><Relationship Id="rId5" Type="http://schemas.openxmlformats.org/officeDocument/2006/relationships/hyperlink" Target="mailto:cimecord@dqo.fcq.unc.edu.ar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5039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Juan Pablo</cp:lastModifiedBy>
  <cp:revision>1</cp:revision>
  <dcterms:created xsi:type="dcterms:W3CDTF">2016-05-11T16:40:00Z</dcterms:created>
  <dcterms:modified xsi:type="dcterms:W3CDTF">2016-05-11T16:43:00Z</dcterms:modified>
</cp:coreProperties>
</file>